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F6" w:rsidRPr="00A850EC" w:rsidRDefault="001F08F6" w:rsidP="001F08F6">
      <w:pPr>
        <w:widowControl/>
        <w:spacing w:line="460" w:lineRule="exact"/>
        <w:jc w:val="both"/>
        <w:rPr>
          <w:rFonts w:eastAsia="標楷體"/>
          <w:sz w:val="40"/>
          <w:szCs w:val="40"/>
        </w:rPr>
      </w:pPr>
      <w:bookmarkStart w:id="0" w:name="_GoBack"/>
      <w:r w:rsidRPr="00A850EC">
        <w:rPr>
          <w:rFonts w:eastAsia="標楷體"/>
          <w:sz w:val="40"/>
          <w:szCs w:val="40"/>
        </w:rPr>
        <w:t>臺中市政府公害糾紛緊急紓處小組設置要點</w:t>
      </w:r>
    </w:p>
    <w:bookmarkEnd w:id="0"/>
    <w:p w:rsidR="001F08F6" w:rsidRPr="00F67176" w:rsidRDefault="001F08F6" w:rsidP="00F67176">
      <w:pPr>
        <w:widowControl/>
        <w:spacing w:line="400" w:lineRule="exact"/>
        <w:jc w:val="right"/>
        <w:rPr>
          <w:rFonts w:eastAsia="標楷體"/>
          <w:sz w:val="20"/>
          <w:szCs w:val="20"/>
        </w:rPr>
      </w:pPr>
      <w:r w:rsidRPr="00F67176">
        <w:rPr>
          <w:rFonts w:eastAsia="標楷體"/>
          <w:sz w:val="20"/>
          <w:szCs w:val="20"/>
        </w:rPr>
        <w:t>中華民國</w:t>
      </w:r>
      <w:r w:rsidRPr="00F67176">
        <w:rPr>
          <w:rFonts w:eastAsia="標楷體"/>
          <w:sz w:val="20"/>
          <w:szCs w:val="20"/>
        </w:rPr>
        <w:t>100</w:t>
      </w:r>
      <w:r w:rsidRPr="00F67176">
        <w:rPr>
          <w:rFonts w:eastAsia="標楷體"/>
          <w:sz w:val="20"/>
          <w:szCs w:val="20"/>
        </w:rPr>
        <w:t>年</w:t>
      </w:r>
      <w:r w:rsidRPr="00F67176">
        <w:rPr>
          <w:rFonts w:eastAsia="標楷體"/>
          <w:sz w:val="20"/>
          <w:szCs w:val="20"/>
        </w:rPr>
        <w:t>2</w:t>
      </w:r>
      <w:r w:rsidRPr="00F67176">
        <w:rPr>
          <w:rFonts w:eastAsia="標楷體"/>
          <w:sz w:val="20"/>
          <w:szCs w:val="20"/>
        </w:rPr>
        <w:t>月</w:t>
      </w:r>
      <w:r w:rsidRPr="00F67176">
        <w:rPr>
          <w:rFonts w:eastAsia="標楷體"/>
          <w:sz w:val="20"/>
          <w:szCs w:val="20"/>
        </w:rPr>
        <w:t>21</w:t>
      </w:r>
      <w:r w:rsidRPr="00F67176">
        <w:rPr>
          <w:rFonts w:eastAsia="標楷體"/>
          <w:sz w:val="20"/>
          <w:szCs w:val="20"/>
        </w:rPr>
        <w:t>日府授環綜字第</w:t>
      </w:r>
      <w:r w:rsidRPr="00F67176">
        <w:rPr>
          <w:rFonts w:eastAsia="標楷體"/>
          <w:sz w:val="20"/>
          <w:szCs w:val="20"/>
        </w:rPr>
        <w:t>1000029736</w:t>
      </w:r>
      <w:r w:rsidRPr="00F67176">
        <w:rPr>
          <w:rFonts w:eastAsia="標楷體"/>
          <w:sz w:val="20"/>
          <w:szCs w:val="20"/>
        </w:rPr>
        <w:t>號函訂定</w:t>
      </w:r>
    </w:p>
    <w:p w:rsidR="001F08F6" w:rsidRPr="00F67176" w:rsidRDefault="001F08F6" w:rsidP="00F67176">
      <w:pPr>
        <w:widowControl/>
        <w:spacing w:line="400" w:lineRule="exact"/>
        <w:jc w:val="right"/>
        <w:rPr>
          <w:rFonts w:eastAsia="標楷體"/>
          <w:sz w:val="20"/>
          <w:szCs w:val="20"/>
        </w:rPr>
      </w:pPr>
      <w:r w:rsidRPr="00F67176">
        <w:rPr>
          <w:rFonts w:eastAsia="標楷體"/>
          <w:sz w:val="20"/>
          <w:szCs w:val="20"/>
        </w:rPr>
        <w:t>中華民國</w:t>
      </w:r>
      <w:r w:rsidRPr="00F67176">
        <w:rPr>
          <w:rFonts w:eastAsia="標楷體" w:hint="eastAsia"/>
          <w:sz w:val="20"/>
          <w:szCs w:val="20"/>
        </w:rPr>
        <w:t>108</w:t>
      </w:r>
      <w:r w:rsidRPr="00F67176">
        <w:rPr>
          <w:rFonts w:eastAsia="標楷體"/>
          <w:sz w:val="20"/>
          <w:szCs w:val="20"/>
        </w:rPr>
        <w:t>年</w:t>
      </w:r>
      <w:r w:rsidRPr="00F67176">
        <w:rPr>
          <w:rFonts w:eastAsia="標楷體" w:hint="eastAsia"/>
          <w:sz w:val="20"/>
          <w:szCs w:val="20"/>
        </w:rPr>
        <w:t>7</w:t>
      </w:r>
      <w:r w:rsidRPr="00F67176">
        <w:rPr>
          <w:rFonts w:eastAsia="標楷體"/>
          <w:sz w:val="20"/>
          <w:szCs w:val="20"/>
        </w:rPr>
        <w:t>月</w:t>
      </w:r>
      <w:r w:rsidRPr="00F67176">
        <w:rPr>
          <w:rFonts w:eastAsia="標楷體" w:hint="eastAsia"/>
          <w:sz w:val="20"/>
          <w:szCs w:val="20"/>
        </w:rPr>
        <w:t>2</w:t>
      </w:r>
      <w:r w:rsidR="00F67176" w:rsidRPr="00F67176">
        <w:rPr>
          <w:rFonts w:eastAsia="標楷體" w:hint="eastAsia"/>
          <w:sz w:val="20"/>
          <w:szCs w:val="20"/>
        </w:rPr>
        <w:t>4</w:t>
      </w:r>
      <w:r w:rsidRPr="00F67176">
        <w:rPr>
          <w:rFonts w:eastAsia="標楷體"/>
          <w:sz w:val="20"/>
          <w:szCs w:val="20"/>
        </w:rPr>
        <w:t>日</w:t>
      </w:r>
      <w:r w:rsidR="006D5DE4" w:rsidRPr="00F67176">
        <w:rPr>
          <w:rFonts w:eastAsia="標楷體" w:hint="eastAsia"/>
          <w:sz w:val="20"/>
          <w:szCs w:val="20"/>
        </w:rPr>
        <w:t>府授人企</w:t>
      </w:r>
      <w:r w:rsidRPr="00F67176">
        <w:rPr>
          <w:rFonts w:eastAsia="標楷體"/>
          <w:sz w:val="20"/>
          <w:szCs w:val="20"/>
        </w:rPr>
        <w:t>字第</w:t>
      </w:r>
      <w:r w:rsidR="006D5DE4" w:rsidRPr="00F67176">
        <w:rPr>
          <w:rFonts w:eastAsia="標楷體" w:hint="eastAsia"/>
          <w:sz w:val="20"/>
          <w:szCs w:val="20"/>
        </w:rPr>
        <w:t>1080174670</w:t>
      </w:r>
      <w:r w:rsidRPr="00F67176">
        <w:rPr>
          <w:rFonts w:eastAsia="標楷體"/>
          <w:sz w:val="20"/>
          <w:szCs w:val="20"/>
        </w:rPr>
        <w:t>號函修正</w:t>
      </w:r>
    </w:p>
    <w:p w:rsidR="001F08F6" w:rsidRPr="006B1A20" w:rsidRDefault="001F08F6" w:rsidP="001F08F6">
      <w:pPr>
        <w:widowControl/>
        <w:numPr>
          <w:ilvl w:val="0"/>
          <w:numId w:val="1"/>
        </w:numPr>
        <w:tabs>
          <w:tab w:val="num" w:pos="567"/>
        </w:tabs>
        <w:snapToGrid w:val="0"/>
        <w:spacing w:line="460" w:lineRule="exact"/>
        <w:ind w:left="567" w:hanging="567"/>
        <w:jc w:val="both"/>
        <w:rPr>
          <w:rFonts w:eastAsia="標楷體"/>
          <w:sz w:val="28"/>
          <w:szCs w:val="28"/>
        </w:rPr>
      </w:pPr>
      <w:r w:rsidRPr="006B1A20">
        <w:rPr>
          <w:rFonts w:eastAsia="標楷體"/>
          <w:sz w:val="28"/>
          <w:szCs w:val="28"/>
        </w:rPr>
        <w:t>臺中市政府（以下簡稱本府）為迅速處理公害糾紛事件，有效化解環保紛爭，依公害糾紛處理法第四十四條第二項及第四十五條第二項規定，設置公害糾紛緊急紓處小組（以下簡稱本小組），並訂定本要點。</w:t>
      </w:r>
    </w:p>
    <w:p w:rsidR="001F08F6" w:rsidRPr="00A850EC" w:rsidRDefault="001F08F6" w:rsidP="001F08F6">
      <w:pPr>
        <w:widowControl/>
        <w:numPr>
          <w:ilvl w:val="0"/>
          <w:numId w:val="1"/>
        </w:numPr>
        <w:tabs>
          <w:tab w:val="num" w:pos="567"/>
        </w:tabs>
        <w:snapToGrid w:val="0"/>
        <w:spacing w:line="460" w:lineRule="exact"/>
        <w:ind w:left="567" w:hanging="567"/>
        <w:jc w:val="both"/>
        <w:rPr>
          <w:rFonts w:eastAsia="標楷體"/>
          <w:sz w:val="28"/>
          <w:szCs w:val="28"/>
        </w:rPr>
      </w:pPr>
      <w:r w:rsidRPr="00A850EC">
        <w:rPr>
          <w:rFonts w:eastAsia="標楷體"/>
          <w:sz w:val="28"/>
          <w:szCs w:val="28"/>
        </w:rPr>
        <w:t>本小組任務如下：</w:t>
      </w:r>
    </w:p>
    <w:p w:rsidR="001F08F6" w:rsidRPr="00A850EC" w:rsidRDefault="001F08F6" w:rsidP="001F08F6">
      <w:pPr>
        <w:widowControl/>
        <w:spacing w:line="460" w:lineRule="exact"/>
        <w:ind w:leftChars="200" w:left="1320" w:hangingChars="300" w:hanging="840"/>
        <w:jc w:val="both"/>
        <w:rPr>
          <w:rFonts w:eastAsia="標楷體"/>
          <w:sz w:val="28"/>
          <w:szCs w:val="28"/>
        </w:rPr>
      </w:pPr>
      <w:r w:rsidRPr="00A850EC">
        <w:rPr>
          <w:rFonts w:eastAsia="標楷體"/>
          <w:sz w:val="28"/>
          <w:szCs w:val="28"/>
        </w:rPr>
        <w:t>（一）督導並協調各有關機關於公害糾紛事件發生時，即時採行適切之處理措施。</w:t>
      </w:r>
    </w:p>
    <w:p w:rsidR="001F08F6" w:rsidRPr="00A850EC" w:rsidRDefault="001F08F6" w:rsidP="001F08F6">
      <w:pPr>
        <w:widowControl/>
        <w:spacing w:line="460" w:lineRule="exact"/>
        <w:ind w:leftChars="200" w:left="1320" w:hangingChars="300" w:hanging="840"/>
        <w:jc w:val="both"/>
        <w:rPr>
          <w:rFonts w:eastAsia="標楷體"/>
          <w:sz w:val="28"/>
          <w:szCs w:val="28"/>
        </w:rPr>
      </w:pPr>
      <w:r w:rsidRPr="00A850EC">
        <w:rPr>
          <w:rFonts w:eastAsia="標楷體"/>
          <w:sz w:val="28"/>
          <w:szCs w:val="28"/>
        </w:rPr>
        <w:t>（二）協調各有關機關間對公害糾紛處理事務分工與權責之爭議。</w:t>
      </w:r>
    </w:p>
    <w:p w:rsidR="001F08F6" w:rsidRPr="00A850EC" w:rsidRDefault="001F08F6" w:rsidP="001F08F6">
      <w:pPr>
        <w:widowControl/>
        <w:spacing w:line="460" w:lineRule="exact"/>
        <w:ind w:leftChars="200" w:left="1320" w:hangingChars="300" w:hanging="840"/>
        <w:jc w:val="both"/>
        <w:rPr>
          <w:rFonts w:eastAsia="標楷體"/>
          <w:sz w:val="28"/>
          <w:szCs w:val="28"/>
        </w:rPr>
      </w:pPr>
      <w:r w:rsidRPr="00A850EC">
        <w:rPr>
          <w:rFonts w:eastAsia="標楷體"/>
          <w:sz w:val="28"/>
          <w:szCs w:val="28"/>
        </w:rPr>
        <w:t>（三）督促高污染性產業作好生產與污染防制設備之功能評鑑。</w:t>
      </w:r>
    </w:p>
    <w:p w:rsidR="001F08F6" w:rsidRPr="00A850EC" w:rsidRDefault="001F08F6" w:rsidP="001F08F6">
      <w:pPr>
        <w:widowControl/>
        <w:spacing w:line="460" w:lineRule="exact"/>
        <w:ind w:leftChars="200" w:left="1320" w:hangingChars="300" w:hanging="840"/>
        <w:jc w:val="both"/>
        <w:rPr>
          <w:rFonts w:eastAsia="標楷體"/>
          <w:sz w:val="28"/>
          <w:szCs w:val="28"/>
        </w:rPr>
      </w:pPr>
      <w:r w:rsidRPr="00A850EC">
        <w:rPr>
          <w:rFonts w:eastAsia="標楷體"/>
          <w:sz w:val="28"/>
          <w:szCs w:val="28"/>
        </w:rPr>
        <w:t>（四）其他有關重大緊急公害糾紛事件之處理事項。</w:t>
      </w:r>
    </w:p>
    <w:p w:rsidR="001F08F6" w:rsidRPr="00A850EC" w:rsidRDefault="001F08F6" w:rsidP="001F08F6">
      <w:pPr>
        <w:widowControl/>
        <w:numPr>
          <w:ilvl w:val="0"/>
          <w:numId w:val="1"/>
        </w:numPr>
        <w:tabs>
          <w:tab w:val="num" w:pos="567"/>
        </w:tabs>
        <w:snapToGrid w:val="0"/>
        <w:spacing w:line="460" w:lineRule="exact"/>
        <w:ind w:left="567" w:hanging="567"/>
        <w:jc w:val="both"/>
        <w:rPr>
          <w:rFonts w:eastAsia="標楷體"/>
          <w:sz w:val="28"/>
          <w:szCs w:val="28"/>
        </w:rPr>
      </w:pPr>
      <w:r w:rsidRPr="00E661AD">
        <w:rPr>
          <w:rFonts w:eastAsia="標楷體"/>
          <w:sz w:val="28"/>
          <w:szCs w:val="28"/>
        </w:rPr>
        <w:t>本</w:t>
      </w:r>
      <w:r w:rsidRPr="00E661AD">
        <w:rPr>
          <w:rFonts w:eastAsia="標楷體" w:hint="eastAsia"/>
          <w:sz w:val="28"/>
          <w:szCs w:val="28"/>
        </w:rPr>
        <w:t>小組</w:t>
      </w:r>
      <w:r w:rsidRPr="00E661AD">
        <w:rPr>
          <w:rFonts w:eastAsia="標楷體"/>
          <w:sz w:val="28"/>
          <w:szCs w:val="28"/>
        </w:rPr>
        <w:t>置委員十一人，其中召集人一人，由市長或其指定適當人員兼任，其餘委員十人，由本府就下列人員派兼之：</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（一）臺中市政府環境保護局（以下簡稱環保局）局長。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（二）臺中市政府農業局局長。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（三）臺中市政府衛生局局長。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（四）臺中市政府警察局局長。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（五）臺中市政府消防局局長。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（六）臺中市政府法制局局長。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（七）臺中市政府民政局局長。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（八）臺中市政府教育局局長。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（九）臺中市政府經濟發展局局長。</w:t>
      </w:r>
    </w:p>
    <w:p w:rsidR="001F08F6" w:rsidRPr="00A850EC" w:rsidRDefault="001F08F6" w:rsidP="001F08F6">
      <w:pPr>
        <w:widowControl/>
        <w:spacing w:line="460" w:lineRule="exact"/>
        <w:ind w:leftChars="200" w:left="480"/>
        <w:jc w:val="both"/>
        <w:rPr>
          <w:rFonts w:eastAsia="標楷體"/>
          <w:sz w:val="28"/>
          <w:szCs w:val="28"/>
        </w:rPr>
      </w:pPr>
      <w:r w:rsidRPr="00A850EC">
        <w:rPr>
          <w:rFonts w:eastAsia="標楷體"/>
          <w:sz w:val="28"/>
          <w:szCs w:val="28"/>
        </w:rPr>
        <w:t>（十）臺中市政府勞工局局長。</w:t>
      </w:r>
    </w:p>
    <w:p w:rsidR="001F08F6" w:rsidRDefault="001F08F6" w:rsidP="001F08F6">
      <w:pPr>
        <w:widowControl/>
        <w:numPr>
          <w:ilvl w:val="0"/>
          <w:numId w:val="1"/>
        </w:numPr>
        <w:tabs>
          <w:tab w:val="num" w:pos="567"/>
        </w:tabs>
        <w:snapToGrid w:val="0"/>
        <w:spacing w:line="460" w:lineRule="exact"/>
        <w:ind w:left="567" w:hanging="567"/>
        <w:jc w:val="both"/>
        <w:rPr>
          <w:rFonts w:eastAsia="標楷體"/>
          <w:sz w:val="28"/>
          <w:szCs w:val="28"/>
        </w:rPr>
      </w:pPr>
      <w:r w:rsidRPr="00A850EC">
        <w:rPr>
          <w:rFonts w:eastAsia="標楷體"/>
          <w:sz w:val="28"/>
          <w:szCs w:val="28"/>
        </w:rPr>
        <w:t>本小組置執行秘書一人，由環保局副局長兼任，承召集人之命，辦理本小組有關業務。</w:t>
      </w:r>
    </w:p>
    <w:p w:rsidR="001F08F6" w:rsidRPr="00A850EC" w:rsidRDefault="001F08F6" w:rsidP="001F08F6">
      <w:pPr>
        <w:widowControl/>
        <w:snapToGrid w:val="0"/>
        <w:spacing w:line="460" w:lineRule="exact"/>
        <w:ind w:left="567"/>
        <w:jc w:val="both"/>
        <w:rPr>
          <w:rFonts w:eastAsia="標楷體"/>
          <w:sz w:val="28"/>
          <w:szCs w:val="28"/>
        </w:rPr>
      </w:pPr>
      <w:r w:rsidRPr="00A850EC">
        <w:rPr>
          <w:rFonts w:eastAsia="標楷體"/>
          <w:sz w:val="28"/>
          <w:szCs w:val="28"/>
        </w:rPr>
        <w:t>本小組之幕僚作業，受執行秘書之指揮監督，所需工作人員，由環保局指派人員兼辦之。</w:t>
      </w:r>
    </w:p>
    <w:p w:rsidR="001F08F6" w:rsidRPr="00A850EC" w:rsidRDefault="001F08F6" w:rsidP="001F08F6">
      <w:pPr>
        <w:widowControl/>
        <w:numPr>
          <w:ilvl w:val="0"/>
          <w:numId w:val="1"/>
        </w:numPr>
        <w:tabs>
          <w:tab w:val="num" w:pos="567"/>
        </w:tabs>
        <w:snapToGrid w:val="0"/>
        <w:spacing w:line="460" w:lineRule="exact"/>
        <w:ind w:left="567" w:hanging="567"/>
        <w:jc w:val="both"/>
        <w:rPr>
          <w:rFonts w:eastAsia="標楷體"/>
          <w:sz w:val="28"/>
          <w:szCs w:val="28"/>
        </w:rPr>
      </w:pPr>
      <w:r w:rsidRPr="00A850EC">
        <w:rPr>
          <w:rFonts w:eastAsia="標楷體"/>
          <w:sz w:val="28"/>
          <w:szCs w:val="28"/>
        </w:rPr>
        <w:lastRenderedPageBreak/>
        <w:t>本小組為處理重大緊急公害糾紛事件，得由本小組邀請有關機關及學術機構指派適當人員協助污染之調查鑑定。</w:t>
      </w:r>
    </w:p>
    <w:p w:rsidR="001F08F6" w:rsidRPr="00A850EC" w:rsidRDefault="001F08F6" w:rsidP="001F08F6">
      <w:pPr>
        <w:widowControl/>
        <w:numPr>
          <w:ilvl w:val="0"/>
          <w:numId w:val="1"/>
        </w:numPr>
        <w:tabs>
          <w:tab w:val="num" w:pos="567"/>
        </w:tabs>
        <w:snapToGrid w:val="0"/>
        <w:spacing w:line="460" w:lineRule="exact"/>
        <w:ind w:left="567" w:hanging="567"/>
        <w:jc w:val="both"/>
        <w:rPr>
          <w:rFonts w:eastAsia="標楷體"/>
          <w:sz w:val="28"/>
          <w:szCs w:val="28"/>
        </w:rPr>
      </w:pPr>
      <w:r w:rsidRPr="00A850EC">
        <w:rPr>
          <w:rFonts w:eastAsia="標楷體"/>
          <w:sz w:val="28"/>
          <w:szCs w:val="28"/>
        </w:rPr>
        <w:t>本小組召開會議時，應邀請有關機關人員、專家學者及當地居民代表列席。</w:t>
      </w:r>
    </w:p>
    <w:p w:rsidR="008350DD" w:rsidRPr="006D5DE4" w:rsidRDefault="001F08F6" w:rsidP="006D5DE4">
      <w:pPr>
        <w:widowControl/>
        <w:numPr>
          <w:ilvl w:val="0"/>
          <w:numId w:val="1"/>
        </w:numPr>
        <w:tabs>
          <w:tab w:val="num" w:pos="567"/>
        </w:tabs>
        <w:snapToGrid w:val="0"/>
        <w:spacing w:line="460" w:lineRule="exact"/>
        <w:ind w:left="567" w:hanging="567"/>
        <w:jc w:val="both"/>
        <w:rPr>
          <w:rFonts w:eastAsia="標楷體"/>
          <w:sz w:val="28"/>
          <w:szCs w:val="28"/>
        </w:rPr>
      </w:pPr>
      <w:r w:rsidRPr="00A850EC">
        <w:rPr>
          <w:rFonts w:eastAsia="標楷體"/>
          <w:sz w:val="28"/>
          <w:szCs w:val="28"/>
        </w:rPr>
        <w:t>本小組召集人、委員、執行秘書及工作人員均為無給職。但邀請學者專家及地方人士出席會議，實地勘查及鑑定，得依規定支給出席費。</w:t>
      </w:r>
    </w:p>
    <w:sectPr w:rsidR="008350DD" w:rsidRPr="006D5DE4" w:rsidSect="00545E2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7F" w:rsidRDefault="004D0A7F" w:rsidP="00F67176">
      <w:r>
        <w:separator/>
      </w:r>
    </w:p>
  </w:endnote>
  <w:endnote w:type="continuationSeparator" w:id="0">
    <w:p w:rsidR="004D0A7F" w:rsidRDefault="004D0A7F" w:rsidP="00F6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7F" w:rsidRDefault="004D0A7F" w:rsidP="00F67176">
      <w:r>
        <w:separator/>
      </w:r>
    </w:p>
  </w:footnote>
  <w:footnote w:type="continuationSeparator" w:id="0">
    <w:p w:rsidR="004D0A7F" w:rsidRDefault="004D0A7F" w:rsidP="00F67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4B18"/>
    <w:multiLevelType w:val="hybridMultilevel"/>
    <w:tmpl w:val="0AD608A2"/>
    <w:lvl w:ilvl="0" w:tplc="7A3A8E74">
      <w:start w:val="1"/>
      <w:numFmt w:val="taiwaneseCountingThousand"/>
      <w:lvlText w:val="%1、"/>
      <w:lvlJc w:val="left"/>
      <w:pPr>
        <w:tabs>
          <w:tab w:val="num" w:pos="4123"/>
        </w:tabs>
        <w:ind w:left="4123"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F6"/>
    <w:rsid w:val="001F08F6"/>
    <w:rsid w:val="004D0A7F"/>
    <w:rsid w:val="006D5DE4"/>
    <w:rsid w:val="008350DD"/>
    <w:rsid w:val="00E60D9B"/>
    <w:rsid w:val="00F67176"/>
    <w:rsid w:val="00F73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76"/>
    <w:pPr>
      <w:tabs>
        <w:tab w:val="center" w:pos="4153"/>
        <w:tab w:val="right" w:pos="8306"/>
      </w:tabs>
      <w:snapToGrid w:val="0"/>
    </w:pPr>
    <w:rPr>
      <w:sz w:val="20"/>
      <w:szCs w:val="20"/>
    </w:rPr>
  </w:style>
  <w:style w:type="character" w:customStyle="1" w:styleId="a4">
    <w:name w:val="頁首 字元"/>
    <w:basedOn w:val="a0"/>
    <w:link w:val="a3"/>
    <w:uiPriority w:val="99"/>
    <w:rsid w:val="00F67176"/>
    <w:rPr>
      <w:rFonts w:ascii="Times New Roman" w:eastAsia="新細明體" w:hAnsi="Times New Roman" w:cs="Times New Roman"/>
      <w:sz w:val="20"/>
      <w:szCs w:val="20"/>
    </w:rPr>
  </w:style>
  <w:style w:type="paragraph" w:styleId="a5">
    <w:name w:val="footer"/>
    <w:basedOn w:val="a"/>
    <w:link w:val="a6"/>
    <w:uiPriority w:val="99"/>
    <w:unhideWhenUsed/>
    <w:rsid w:val="00F67176"/>
    <w:pPr>
      <w:tabs>
        <w:tab w:val="center" w:pos="4153"/>
        <w:tab w:val="right" w:pos="8306"/>
      </w:tabs>
      <w:snapToGrid w:val="0"/>
    </w:pPr>
    <w:rPr>
      <w:sz w:val="20"/>
      <w:szCs w:val="20"/>
    </w:rPr>
  </w:style>
  <w:style w:type="character" w:customStyle="1" w:styleId="a6">
    <w:name w:val="頁尾 字元"/>
    <w:basedOn w:val="a0"/>
    <w:link w:val="a5"/>
    <w:uiPriority w:val="99"/>
    <w:rsid w:val="00F6717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76"/>
    <w:pPr>
      <w:tabs>
        <w:tab w:val="center" w:pos="4153"/>
        <w:tab w:val="right" w:pos="8306"/>
      </w:tabs>
      <w:snapToGrid w:val="0"/>
    </w:pPr>
    <w:rPr>
      <w:sz w:val="20"/>
      <w:szCs w:val="20"/>
    </w:rPr>
  </w:style>
  <w:style w:type="character" w:customStyle="1" w:styleId="a4">
    <w:name w:val="頁首 字元"/>
    <w:basedOn w:val="a0"/>
    <w:link w:val="a3"/>
    <w:uiPriority w:val="99"/>
    <w:rsid w:val="00F67176"/>
    <w:rPr>
      <w:rFonts w:ascii="Times New Roman" w:eastAsia="新細明體" w:hAnsi="Times New Roman" w:cs="Times New Roman"/>
      <w:sz w:val="20"/>
      <w:szCs w:val="20"/>
    </w:rPr>
  </w:style>
  <w:style w:type="paragraph" w:styleId="a5">
    <w:name w:val="footer"/>
    <w:basedOn w:val="a"/>
    <w:link w:val="a6"/>
    <w:uiPriority w:val="99"/>
    <w:unhideWhenUsed/>
    <w:rsid w:val="00F67176"/>
    <w:pPr>
      <w:tabs>
        <w:tab w:val="center" w:pos="4153"/>
        <w:tab w:val="right" w:pos="8306"/>
      </w:tabs>
      <w:snapToGrid w:val="0"/>
    </w:pPr>
    <w:rPr>
      <w:sz w:val="20"/>
      <w:szCs w:val="20"/>
    </w:rPr>
  </w:style>
  <w:style w:type="character" w:customStyle="1" w:styleId="a6">
    <w:name w:val="頁尾 字元"/>
    <w:basedOn w:val="a0"/>
    <w:link w:val="a5"/>
    <w:uiPriority w:val="99"/>
    <w:rsid w:val="00F671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Company>TCCG</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葉芬慈</dc:creator>
  <cp:lastModifiedBy>潘士銓</cp:lastModifiedBy>
  <cp:revision>2</cp:revision>
  <dcterms:created xsi:type="dcterms:W3CDTF">2019-07-24T02:51:00Z</dcterms:created>
  <dcterms:modified xsi:type="dcterms:W3CDTF">2019-07-24T02:51:00Z</dcterms:modified>
</cp:coreProperties>
</file>