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B4C" w:rsidRDefault="00496B4C" w:rsidP="00977704">
      <w:pPr>
        <w:spacing w:beforeLines="50" w:before="180" w:afterLines="50" w:after="180" w:line="200" w:lineRule="exact"/>
        <w:ind w:left="980" w:hanging="980"/>
        <w:jc w:val="both"/>
        <w:rPr>
          <w:rFonts w:ascii="標楷體" w:eastAsia="標楷體" w:hAnsi="標楷體"/>
          <w:color w:val="000000"/>
          <w:sz w:val="28"/>
          <w:szCs w:val="28"/>
        </w:rPr>
      </w:pPr>
      <w:bookmarkStart w:id="0" w:name="_GoBack"/>
      <w:bookmarkEnd w:id="0"/>
    </w:p>
    <w:p w:rsidR="00496B4C" w:rsidRPr="00787221" w:rsidRDefault="00A3544D" w:rsidP="00496B4C">
      <w:pPr>
        <w:spacing w:line="0" w:lineRule="atLeast"/>
        <w:ind w:leftChars="-1" w:left="-2" w:rightChars="23" w:right="55"/>
        <w:contextualSpacing/>
        <w:rPr>
          <w:rFonts w:ascii="標楷體" w:eastAsia="標楷體" w:hAnsi="標楷體"/>
          <w:color w:val="000000" w:themeColor="text1"/>
          <w:sz w:val="32"/>
          <w:szCs w:val="32"/>
        </w:rPr>
      </w:pPr>
      <w:r>
        <w:rPr>
          <w:rFonts w:ascii="標楷體" w:eastAsia="標楷體" w:hAnsi="標楷體" w:hint="eastAsia"/>
          <w:color w:val="000000" w:themeColor="text1"/>
          <w:sz w:val="40"/>
          <w:szCs w:val="40"/>
        </w:rPr>
        <w:t>臺中市文化資產認養維護辦法</w:t>
      </w:r>
    </w:p>
    <w:p w:rsidR="00496B4C" w:rsidRPr="00787221" w:rsidRDefault="00496B4C" w:rsidP="00496B4C">
      <w:pPr>
        <w:spacing w:line="460" w:lineRule="exact"/>
        <w:ind w:left="848" w:hangingChars="303" w:hanging="848"/>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第一條    </w:t>
      </w:r>
      <w:r w:rsidR="006F77DC" w:rsidRPr="002A0A71">
        <w:rPr>
          <w:rFonts w:ascii="標楷體" w:eastAsia="標楷體" w:hAnsi="標楷體" w:hint="eastAsia"/>
          <w:bCs/>
          <w:sz w:val="28"/>
          <w:szCs w:val="28"/>
        </w:rPr>
        <w:t>臺中市政府為結合社會資源，鼓勵無償認養臺中市轄內</w:t>
      </w:r>
      <w:r w:rsidR="006F77DC" w:rsidRPr="002A0A71">
        <w:rPr>
          <w:rFonts w:ascii="標楷體" w:eastAsia="標楷體" w:hAnsi="標楷體"/>
          <w:bCs/>
          <w:sz w:val="28"/>
          <w:szCs w:val="28"/>
        </w:rPr>
        <w:t>公有</w:t>
      </w:r>
      <w:r w:rsidR="006F77DC" w:rsidRPr="002A0A71">
        <w:rPr>
          <w:rFonts w:ascii="標楷體" w:eastAsia="標楷體" w:hAnsi="標楷體" w:hint="eastAsia"/>
          <w:bCs/>
          <w:sz w:val="28"/>
          <w:szCs w:val="28"/>
        </w:rPr>
        <w:t>文化資產，以提升管理效益，並促進活化再利用，特訂定本辦法。</w:t>
      </w:r>
    </w:p>
    <w:p w:rsidR="00496B4C" w:rsidRPr="00787221" w:rsidRDefault="00496B4C" w:rsidP="00496B4C">
      <w:pPr>
        <w:spacing w:line="460" w:lineRule="exact"/>
        <w:ind w:left="848" w:hangingChars="303" w:hanging="848"/>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第二條    </w:t>
      </w:r>
      <w:r w:rsidR="006F77DC" w:rsidRPr="002A0A71">
        <w:rPr>
          <w:rFonts w:ascii="標楷體" w:eastAsia="標楷體" w:hAnsi="標楷體" w:hint="eastAsia"/>
          <w:bCs/>
          <w:sz w:val="28"/>
          <w:szCs w:val="28"/>
        </w:rPr>
        <w:t>本辦法主管機關為臺中市政府文化局(以下簡稱文化局)，執行機關為臺中市文化資產處(以下簡稱文資處)。</w:t>
      </w:r>
      <w:r w:rsidRPr="00787221">
        <w:rPr>
          <w:rFonts w:ascii="標楷體" w:eastAsia="標楷體" w:hAnsi="標楷體" w:hint="eastAsia"/>
          <w:color w:val="000000" w:themeColor="text1"/>
          <w:sz w:val="28"/>
          <w:szCs w:val="28"/>
        </w:rPr>
        <w:t xml:space="preserve">          </w:t>
      </w:r>
    </w:p>
    <w:p w:rsidR="00496B4C" w:rsidRPr="00787221" w:rsidRDefault="00496B4C" w:rsidP="00496B4C">
      <w:pPr>
        <w:spacing w:line="460" w:lineRule="exact"/>
        <w:ind w:left="848" w:hangingChars="303" w:hanging="848"/>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第三條    </w:t>
      </w:r>
      <w:r w:rsidR="006F77DC" w:rsidRPr="002A0A71">
        <w:rPr>
          <w:rFonts w:ascii="標楷體" w:eastAsia="標楷體" w:hAnsi="標楷體" w:hint="eastAsia"/>
          <w:color w:val="000000"/>
          <w:sz w:val="28"/>
          <w:szCs w:val="28"/>
        </w:rPr>
        <w:t>本辦法所稱文化資產，指經臺中市政府依文化資產保存法第三條第一款第一目至第八目規定</w:t>
      </w:r>
      <w:r w:rsidR="006F77DC" w:rsidRPr="002A0A71">
        <w:rPr>
          <w:rFonts w:ascii="標楷體" w:eastAsia="標楷體" w:hAnsi="標楷體"/>
          <w:color w:val="000000"/>
          <w:sz w:val="28"/>
          <w:szCs w:val="28"/>
        </w:rPr>
        <w:t>所</w:t>
      </w:r>
      <w:r w:rsidR="006F77DC" w:rsidRPr="002A0A71">
        <w:rPr>
          <w:rFonts w:ascii="標楷體" w:eastAsia="標楷體" w:hAnsi="標楷體" w:hint="eastAsia"/>
          <w:color w:val="000000"/>
          <w:sz w:val="28"/>
          <w:szCs w:val="28"/>
        </w:rPr>
        <w:t>指定或登錄者。</w:t>
      </w:r>
    </w:p>
    <w:p w:rsidR="00496B4C" w:rsidRPr="00787221" w:rsidRDefault="00496B4C" w:rsidP="00496B4C">
      <w:pPr>
        <w:spacing w:line="460" w:lineRule="exact"/>
        <w:ind w:left="848" w:hangingChars="303" w:hanging="848"/>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第四條    </w:t>
      </w:r>
      <w:r w:rsidR="006F77DC" w:rsidRPr="002A0A71">
        <w:rPr>
          <w:rFonts w:ascii="標楷體" w:eastAsia="標楷體" w:hAnsi="標楷體" w:hint="eastAsia"/>
          <w:color w:val="000000"/>
          <w:sz w:val="28"/>
          <w:szCs w:val="28"/>
        </w:rPr>
        <w:t>各級學校、機關、團體、民間企業或個人(以下簡稱認養人)，得依本辦法規定認養臺中市文化資產。</w:t>
      </w:r>
    </w:p>
    <w:p w:rsidR="00496B4C" w:rsidRPr="00787221" w:rsidRDefault="00496B4C" w:rsidP="00496B4C">
      <w:pPr>
        <w:spacing w:line="460" w:lineRule="exact"/>
        <w:ind w:left="848" w:hangingChars="303" w:hanging="848"/>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第五條    </w:t>
      </w:r>
      <w:r w:rsidR="006F77DC" w:rsidRPr="002A0A71">
        <w:rPr>
          <w:rFonts w:ascii="標楷體" w:eastAsia="標楷體" w:hAnsi="標楷體" w:hint="eastAsia"/>
          <w:color w:val="000000"/>
          <w:sz w:val="28"/>
          <w:szCs w:val="28"/>
        </w:rPr>
        <w:t>申請認養者應填具申請書並檢附認養計畫書，向文化局提出申請，經文化局審核通過後，簽訂認養契約。</w:t>
      </w:r>
    </w:p>
    <w:p w:rsidR="00496B4C" w:rsidRPr="00787221" w:rsidRDefault="00496B4C" w:rsidP="00496B4C">
      <w:pPr>
        <w:spacing w:line="460" w:lineRule="exact"/>
        <w:ind w:leftChars="60" w:left="850" w:hangingChars="252" w:hanging="706"/>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         </w:t>
      </w:r>
      <w:r w:rsidR="006F77DC" w:rsidRPr="002A0A71">
        <w:rPr>
          <w:rFonts w:ascii="標楷體" w:eastAsia="標楷體" w:hAnsi="標楷體"/>
          <w:color w:val="000000"/>
          <w:sz w:val="28"/>
          <w:szCs w:val="28"/>
        </w:rPr>
        <w:t>同一標的</w:t>
      </w:r>
      <w:r w:rsidR="006F77DC" w:rsidRPr="002A0A71">
        <w:rPr>
          <w:rFonts w:ascii="標楷體" w:eastAsia="標楷體" w:hAnsi="標楷體" w:hint="eastAsia"/>
          <w:color w:val="000000"/>
          <w:sz w:val="28"/>
          <w:szCs w:val="28"/>
        </w:rPr>
        <w:t>有二以上認養人申請認養</w:t>
      </w:r>
      <w:r w:rsidR="006F77DC" w:rsidRPr="002A0A71">
        <w:rPr>
          <w:rFonts w:ascii="標楷體" w:eastAsia="標楷體" w:hAnsi="標楷體"/>
          <w:color w:val="000000"/>
          <w:sz w:val="28"/>
          <w:szCs w:val="28"/>
        </w:rPr>
        <w:t>者</w:t>
      </w:r>
      <w:r w:rsidR="006F77DC" w:rsidRPr="002A0A71">
        <w:rPr>
          <w:rFonts w:ascii="標楷體" w:eastAsia="標楷體" w:hAnsi="標楷體" w:hint="eastAsia"/>
          <w:color w:val="000000"/>
          <w:sz w:val="28"/>
          <w:szCs w:val="28"/>
        </w:rPr>
        <w:t>，文化局得依其所提之認養計畫書召開審查會甄選。</w:t>
      </w:r>
    </w:p>
    <w:p w:rsidR="00496B4C" w:rsidRDefault="006F77DC" w:rsidP="00496B4C">
      <w:pPr>
        <w:spacing w:line="460" w:lineRule="exact"/>
        <w:ind w:leftChars="354" w:left="850" w:firstLineChars="202" w:firstLine="566"/>
        <w:contextualSpacing/>
        <w:rPr>
          <w:rFonts w:ascii="標楷體" w:eastAsia="標楷體" w:hAnsi="標楷體"/>
          <w:color w:val="000000" w:themeColor="text1"/>
          <w:sz w:val="28"/>
          <w:szCs w:val="28"/>
        </w:rPr>
      </w:pPr>
      <w:r w:rsidRPr="002A0A71">
        <w:rPr>
          <w:rFonts w:ascii="標楷體" w:eastAsia="標楷體" w:hAnsi="標楷體" w:hint="eastAsia"/>
          <w:color w:val="000000"/>
          <w:sz w:val="28"/>
          <w:szCs w:val="28"/>
        </w:rPr>
        <w:t>申請書件所載內容如有異動，認養人應以書面敘明情形，並報經文化局備查。</w:t>
      </w:r>
    </w:p>
    <w:p w:rsidR="002C2609" w:rsidRPr="00787221" w:rsidRDefault="006F77DC" w:rsidP="00496B4C">
      <w:pPr>
        <w:spacing w:line="460" w:lineRule="exact"/>
        <w:ind w:leftChars="354" w:left="850" w:firstLineChars="202" w:firstLine="566"/>
        <w:contextualSpacing/>
        <w:rPr>
          <w:rFonts w:ascii="標楷體" w:eastAsia="標楷體" w:hAnsi="標楷體"/>
          <w:color w:val="000000" w:themeColor="text1"/>
          <w:sz w:val="28"/>
          <w:szCs w:val="28"/>
        </w:rPr>
      </w:pPr>
      <w:r w:rsidRPr="002A0A71">
        <w:rPr>
          <w:rFonts w:ascii="標楷體" w:eastAsia="標楷體" w:hAnsi="標楷體"/>
          <w:color w:val="000000" w:themeColor="text1"/>
          <w:sz w:val="28"/>
          <w:szCs w:val="28"/>
        </w:rPr>
        <w:t>第一項之</w:t>
      </w:r>
      <w:r w:rsidRPr="002A0A71">
        <w:rPr>
          <w:rFonts w:ascii="標楷體" w:eastAsia="標楷體" w:hAnsi="標楷體" w:hint="eastAsia"/>
          <w:color w:val="000000" w:themeColor="text1"/>
          <w:sz w:val="28"/>
          <w:szCs w:val="28"/>
        </w:rPr>
        <w:t>審核或</w:t>
      </w:r>
      <w:r w:rsidRPr="002A0A71">
        <w:rPr>
          <w:rFonts w:ascii="標楷體" w:eastAsia="標楷體" w:hAnsi="標楷體"/>
          <w:color w:val="000000" w:themeColor="text1"/>
          <w:sz w:val="28"/>
          <w:szCs w:val="28"/>
        </w:rPr>
        <w:t>第二項之</w:t>
      </w:r>
      <w:r w:rsidRPr="002A0A71">
        <w:rPr>
          <w:rFonts w:ascii="標楷體" w:eastAsia="標楷體" w:hAnsi="標楷體" w:hint="eastAsia"/>
          <w:color w:val="000000" w:themeColor="text1"/>
          <w:sz w:val="28"/>
          <w:szCs w:val="28"/>
        </w:rPr>
        <w:t>甄選之方式及程序，由文</w:t>
      </w:r>
      <w:r w:rsidRPr="002A0A71">
        <w:rPr>
          <w:rFonts w:ascii="標楷體" w:eastAsia="標楷體" w:hAnsi="標楷體"/>
          <w:color w:val="000000" w:themeColor="text1"/>
          <w:sz w:val="28"/>
          <w:szCs w:val="28"/>
        </w:rPr>
        <w:t>化局</w:t>
      </w:r>
      <w:r w:rsidRPr="002A0A71">
        <w:rPr>
          <w:rFonts w:ascii="標楷體" w:eastAsia="標楷體" w:hAnsi="標楷體" w:hint="eastAsia"/>
          <w:color w:val="000000" w:themeColor="text1"/>
          <w:sz w:val="28"/>
          <w:szCs w:val="28"/>
        </w:rPr>
        <w:t>另定之。</w:t>
      </w:r>
    </w:p>
    <w:p w:rsidR="00496B4C" w:rsidRPr="00787221" w:rsidRDefault="002C2609" w:rsidP="00496B4C">
      <w:pPr>
        <w:spacing w:line="460" w:lineRule="exact"/>
        <w:ind w:left="706" w:hangingChars="252" w:hanging="706"/>
        <w:contextualSpacing/>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第六</w:t>
      </w:r>
      <w:r w:rsidR="00496B4C" w:rsidRPr="00787221">
        <w:rPr>
          <w:rFonts w:ascii="標楷體" w:eastAsia="標楷體" w:hAnsi="標楷體" w:hint="eastAsia"/>
          <w:color w:val="000000" w:themeColor="text1"/>
          <w:sz w:val="28"/>
          <w:szCs w:val="28"/>
        </w:rPr>
        <w:t xml:space="preserve">條    </w:t>
      </w:r>
      <w:r w:rsidR="006F77DC" w:rsidRPr="002A0A71">
        <w:rPr>
          <w:rFonts w:ascii="標楷體" w:eastAsia="標楷體" w:hAnsi="標楷體" w:hint="eastAsia"/>
          <w:color w:val="000000"/>
          <w:sz w:val="28"/>
          <w:szCs w:val="28"/>
        </w:rPr>
        <w:t>文化局辦理審核</w:t>
      </w:r>
      <w:r w:rsidR="006F77DC" w:rsidRPr="002A0A71">
        <w:rPr>
          <w:rFonts w:ascii="標楷體" w:eastAsia="標楷體" w:hAnsi="標楷體"/>
          <w:color w:val="000000"/>
          <w:sz w:val="28"/>
          <w:szCs w:val="28"/>
        </w:rPr>
        <w:t>或</w:t>
      </w:r>
      <w:r w:rsidR="006F77DC" w:rsidRPr="002A0A71">
        <w:rPr>
          <w:rFonts w:ascii="標楷體" w:eastAsia="標楷體" w:hAnsi="標楷體" w:hint="eastAsia"/>
          <w:color w:val="000000"/>
          <w:sz w:val="28"/>
          <w:szCs w:val="28"/>
        </w:rPr>
        <w:t>甄選時，得參考下列標準為之:</w:t>
      </w:r>
    </w:p>
    <w:p w:rsidR="00496B4C" w:rsidRPr="00787221" w:rsidRDefault="00496B4C" w:rsidP="00496B4C">
      <w:pPr>
        <w:spacing w:line="460" w:lineRule="exact"/>
        <w:ind w:leftChars="119" w:left="992" w:hangingChars="252" w:hanging="706"/>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        一、</w:t>
      </w:r>
      <w:r w:rsidR="006F77DC" w:rsidRPr="002A0A71">
        <w:rPr>
          <w:rFonts w:ascii="標楷體" w:eastAsia="標楷體" w:hAnsi="標楷體" w:hint="eastAsia"/>
          <w:color w:val="000000"/>
          <w:sz w:val="28"/>
          <w:szCs w:val="28"/>
        </w:rPr>
        <w:t>認養標的之整體規劃、管理維護或環境美化構想。</w:t>
      </w:r>
    </w:p>
    <w:p w:rsidR="00496B4C" w:rsidRPr="00787221" w:rsidRDefault="00496B4C" w:rsidP="00496B4C">
      <w:pPr>
        <w:spacing w:line="460" w:lineRule="exact"/>
        <w:ind w:leftChars="590" w:left="1696" w:hangingChars="100" w:hanging="280"/>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二、</w:t>
      </w:r>
      <w:r w:rsidR="006F77DC" w:rsidRPr="002A0A71">
        <w:rPr>
          <w:rFonts w:ascii="標楷體" w:eastAsia="標楷體" w:hAnsi="標楷體" w:hint="eastAsia"/>
          <w:color w:val="000000"/>
          <w:sz w:val="28"/>
          <w:szCs w:val="28"/>
        </w:rPr>
        <w:t>與文化局或文資處之協調配合機制。</w:t>
      </w:r>
    </w:p>
    <w:p w:rsidR="00496B4C" w:rsidRPr="00787221" w:rsidRDefault="00496B4C" w:rsidP="00496B4C">
      <w:pPr>
        <w:spacing w:line="460" w:lineRule="exact"/>
        <w:ind w:leftChars="118" w:left="1697" w:hangingChars="505" w:hanging="1414"/>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        三、簡報內容及現場答詢表現。</w:t>
      </w:r>
    </w:p>
    <w:p w:rsidR="00496B4C" w:rsidRPr="00787221" w:rsidRDefault="00496B4C" w:rsidP="00496B4C">
      <w:pPr>
        <w:spacing w:line="460" w:lineRule="exact"/>
        <w:ind w:leftChars="119" w:left="992" w:hangingChars="252" w:hanging="706"/>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        四、其他必要之圖說及相關資料。</w:t>
      </w:r>
    </w:p>
    <w:p w:rsidR="00496B4C" w:rsidRPr="00787221" w:rsidRDefault="002C2609" w:rsidP="00496B4C">
      <w:pPr>
        <w:spacing w:line="460" w:lineRule="exact"/>
        <w:ind w:left="851" w:hangingChars="304" w:hanging="851"/>
        <w:contextualSpacing/>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第七</w:t>
      </w:r>
      <w:r w:rsidR="00496B4C" w:rsidRPr="00787221">
        <w:rPr>
          <w:rFonts w:ascii="標楷體" w:eastAsia="標楷體" w:hAnsi="標楷體" w:hint="eastAsia"/>
          <w:color w:val="000000" w:themeColor="text1"/>
          <w:sz w:val="28"/>
          <w:szCs w:val="28"/>
        </w:rPr>
        <w:t xml:space="preserve">條    </w:t>
      </w:r>
      <w:r w:rsidR="006F77DC" w:rsidRPr="002A0A71">
        <w:rPr>
          <w:rFonts w:ascii="標楷體" w:eastAsia="標楷體" w:hAnsi="標楷體" w:hint="eastAsia"/>
          <w:color w:val="000000" w:themeColor="text1"/>
          <w:sz w:val="28"/>
          <w:szCs w:val="28"/>
        </w:rPr>
        <w:t>認養期限每期一年至四年；認養人於期限屆滿前三個月</w:t>
      </w:r>
      <w:r w:rsidR="006F77DC" w:rsidRPr="002A0A71">
        <w:rPr>
          <w:rFonts w:ascii="標楷體" w:eastAsia="標楷體" w:hAnsi="標楷體"/>
          <w:color w:val="000000" w:themeColor="text1"/>
          <w:sz w:val="28"/>
          <w:szCs w:val="28"/>
        </w:rPr>
        <w:t>內</w:t>
      </w:r>
      <w:r w:rsidR="006F77DC" w:rsidRPr="002A0A71">
        <w:rPr>
          <w:rFonts w:ascii="標楷體" w:eastAsia="標楷體" w:hAnsi="標楷體" w:hint="eastAsia"/>
          <w:color w:val="000000" w:themeColor="text1"/>
          <w:sz w:val="28"/>
          <w:szCs w:val="28"/>
        </w:rPr>
        <w:t>得申請繼續認養，經文化局認定績效優良者，得由其優先認養並續訂契約。</w:t>
      </w:r>
    </w:p>
    <w:p w:rsidR="00496B4C" w:rsidRPr="00787221" w:rsidRDefault="00496B4C" w:rsidP="00496B4C">
      <w:pPr>
        <w:spacing w:line="460" w:lineRule="exact"/>
        <w:ind w:leftChars="-1" w:left="849" w:hangingChars="304" w:hanging="851"/>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第</w:t>
      </w:r>
      <w:r w:rsidR="002C2609">
        <w:rPr>
          <w:rFonts w:ascii="標楷體" w:eastAsia="標楷體" w:hAnsi="標楷體" w:hint="eastAsia"/>
          <w:color w:val="000000" w:themeColor="text1"/>
          <w:sz w:val="28"/>
          <w:szCs w:val="28"/>
        </w:rPr>
        <w:t>八</w:t>
      </w:r>
      <w:r w:rsidRPr="00787221">
        <w:rPr>
          <w:rFonts w:ascii="標楷體" w:eastAsia="標楷體" w:hAnsi="標楷體" w:hint="eastAsia"/>
          <w:color w:val="000000" w:themeColor="text1"/>
          <w:sz w:val="28"/>
          <w:szCs w:val="28"/>
        </w:rPr>
        <w:t xml:space="preserve">條    </w:t>
      </w:r>
      <w:r w:rsidR="006F77DC" w:rsidRPr="002A0A71">
        <w:rPr>
          <w:rFonts w:ascii="標楷體" w:eastAsia="標楷體" w:hAnsi="標楷體" w:hint="eastAsia"/>
          <w:color w:val="000000"/>
          <w:sz w:val="28"/>
          <w:szCs w:val="28"/>
        </w:rPr>
        <w:t>認養人應依文化資產保存法、文化資產保存法施行細則、古蹟管理維護辦法、古蹟歷史建築紀念建築及聚落建築群重大災害</w:t>
      </w:r>
      <w:r w:rsidR="006F77DC" w:rsidRPr="002A0A71">
        <w:rPr>
          <w:rFonts w:ascii="標楷體" w:eastAsia="標楷體" w:hAnsi="標楷體" w:hint="eastAsia"/>
          <w:color w:val="000000"/>
          <w:sz w:val="28"/>
          <w:szCs w:val="28"/>
        </w:rPr>
        <w:lastRenderedPageBreak/>
        <w:t>應變處理辦法、考古遺址監管保護辦法及其他相關規定，負責認養標的之管理維護，並盡善良管理人之注意義務。</w:t>
      </w:r>
    </w:p>
    <w:p w:rsidR="00496B4C" w:rsidRPr="00787221" w:rsidRDefault="006F77DC" w:rsidP="00496B4C">
      <w:pPr>
        <w:spacing w:line="460" w:lineRule="exact"/>
        <w:ind w:leftChars="353" w:left="847" w:firstLineChars="203" w:firstLine="568"/>
        <w:contextualSpacing/>
        <w:rPr>
          <w:rFonts w:ascii="標楷體" w:eastAsia="標楷體" w:hAnsi="標楷體"/>
          <w:color w:val="000000" w:themeColor="text1"/>
          <w:sz w:val="28"/>
          <w:szCs w:val="28"/>
        </w:rPr>
      </w:pPr>
      <w:r w:rsidRPr="002A0A71">
        <w:rPr>
          <w:rFonts w:ascii="標楷體" w:eastAsia="標楷體" w:hAnsi="標楷體" w:hint="eastAsia"/>
          <w:color w:val="000000"/>
          <w:sz w:val="28"/>
          <w:szCs w:val="28"/>
        </w:rPr>
        <w:t>認養人於認養期間內，應自行負擔認養標的之水電及管理維護費用。</w:t>
      </w:r>
    </w:p>
    <w:p w:rsidR="00496B4C" w:rsidRPr="00787221" w:rsidRDefault="002C2609" w:rsidP="00496B4C">
      <w:pPr>
        <w:spacing w:line="460" w:lineRule="exact"/>
        <w:ind w:left="848" w:hangingChars="303" w:hanging="848"/>
        <w:contextualSpacing/>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第九</w:t>
      </w:r>
      <w:r w:rsidR="00496B4C" w:rsidRPr="00787221">
        <w:rPr>
          <w:rFonts w:ascii="標楷體" w:eastAsia="標楷體" w:hAnsi="標楷體" w:hint="eastAsia"/>
          <w:color w:val="000000" w:themeColor="text1"/>
          <w:sz w:val="28"/>
          <w:szCs w:val="28"/>
        </w:rPr>
        <w:t xml:space="preserve">條    </w:t>
      </w:r>
      <w:r w:rsidR="006F77DC" w:rsidRPr="002A0A71">
        <w:rPr>
          <w:rFonts w:ascii="標楷體" w:eastAsia="標楷體" w:hAnsi="標楷體" w:hint="eastAsia"/>
          <w:color w:val="000000" w:themeColor="text1"/>
          <w:sz w:val="28"/>
          <w:szCs w:val="28"/>
        </w:rPr>
        <w:t>認養標的</w:t>
      </w:r>
      <w:r w:rsidR="006F77DC" w:rsidRPr="002A0A71">
        <w:rPr>
          <w:rFonts w:ascii="標楷體" w:eastAsia="標楷體" w:hAnsi="標楷體"/>
          <w:color w:val="000000" w:themeColor="text1"/>
          <w:sz w:val="28"/>
          <w:szCs w:val="28"/>
        </w:rPr>
        <w:t>或</w:t>
      </w:r>
      <w:r w:rsidR="006F77DC" w:rsidRPr="002A0A71">
        <w:rPr>
          <w:rFonts w:ascii="標楷體" w:eastAsia="標楷體" w:hAnsi="標楷體" w:hint="eastAsia"/>
          <w:color w:val="000000" w:themeColor="text1"/>
          <w:sz w:val="28"/>
          <w:szCs w:val="28"/>
        </w:rPr>
        <w:t>其附屬設施</w:t>
      </w:r>
      <w:r w:rsidR="006F77DC" w:rsidRPr="002A0A71">
        <w:rPr>
          <w:rFonts w:ascii="標楷體" w:eastAsia="標楷體" w:hAnsi="標楷體" w:cs="細明體" w:hint="eastAsia"/>
          <w:color w:val="000000"/>
          <w:kern w:val="0"/>
          <w:sz w:val="28"/>
          <w:szCs w:val="28"/>
        </w:rPr>
        <w:t>於日常保養或定期維修作業中，發見其主體、構件、文物等有外觀形狀改變、色澤變化、設備損壞、生物危害等異常狀況，有損害文化資產價值之虞時，應予記錄，並立即通報文資處。如遇竊盜時，應同時通報警察機關。</w:t>
      </w:r>
    </w:p>
    <w:p w:rsidR="00496B4C" w:rsidRPr="00787221" w:rsidRDefault="006F77DC" w:rsidP="00496B4C">
      <w:pPr>
        <w:spacing w:line="460" w:lineRule="exact"/>
        <w:ind w:leftChars="354" w:left="850" w:firstLineChars="202" w:firstLine="566"/>
        <w:contextualSpacing/>
        <w:rPr>
          <w:rFonts w:ascii="標楷體" w:eastAsia="標楷體" w:hAnsi="標楷體"/>
          <w:color w:val="000000" w:themeColor="text1"/>
          <w:sz w:val="28"/>
          <w:szCs w:val="28"/>
        </w:rPr>
      </w:pPr>
      <w:r w:rsidRPr="002A0A71">
        <w:rPr>
          <w:rFonts w:ascii="標楷體" w:eastAsia="標楷體" w:hAnsi="標楷體" w:hint="eastAsia"/>
          <w:color w:val="000000"/>
          <w:sz w:val="28"/>
          <w:szCs w:val="28"/>
        </w:rPr>
        <w:t>前項異常狀況有持續擴大之虞者，應及時就</w:t>
      </w:r>
      <w:r w:rsidRPr="002A0A71">
        <w:rPr>
          <w:rFonts w:ascii="標楷體" w:eastAsia="標楷體" w:hAnsi="標楷體"/>
          <w:color w:val="000000"/>
          <w:sz w:val="28"/>
          <w:szCs w:val="28"/>
        </w:rPr>
        <w:t>認養標的</w:t>
      </w:r>
      <w:r w:rsidRPr="002A0A71">
        <w:rPr>
          <w:rFonts w:ascii="標楷體" w:eastAsia="標楷體" w:hAnsi="標楷體" w:hint="eastAsia"/>
          <w:color w:val="000000"/>
          <w:sz w:val="28"/>
          <w:szCs w:val="28"/>
        </w:rPr>
        <w:t>受損處，採取非侵入式之臨時保護。</w:t>
      </w:r>
    </w:p>
    <w:p w:rsidR="00496B4C" w:rsidRDefault="006F77DC" w:rsidP="00496B4C">
      <w:pPr>
        <w:spacing w:line="460" w:lineRule="exact"/>
        <w:ind w:leftChars="354" w:left="850" w:firstLineChars="202" w:firstLine="566"/>
        <w:contextualSpacing/>
        <w:rPr>
          <w:rFonts w:ascii="標楷體" w:eastAsia="標楷體" w:hAnsi="標楷體"/>
          <w:color w:val="000000"/>
          <w:sz w:val="28"/>
          <w:szCs w:val="28"/>
        </w:rPr>
      </w:pPr>
      <w:r w:rsidRPr="002A0A71">
        <w:rPr>
          <w:rFonts w:ascii="標楷體" w:eastAsia="標楷體" w:hAnsi="標楷體"/>
          <w:color w:val="000000"/>
          <w:sz w:val="28"/>
          <w:szCs w:val="28"/>
        </w:rPr>
        <w:t>第一項之情形，</w:t>
      </w:r>
      <w:r w:rsidRPr="002A0A71">
        <w:rPr>
          <w:rFonts w:ascii="標楷體" w:eastAsia="標楷體" w:hAnsi="標楷體" w:hint="eastAsia"/>
          <w:color w:val="000000"/>
          <w:sz w:val="28"/>
          <w:szCs w:val="28"/>
        </w:rPr>
        <w:t>認養人得更新改善，或以整體景觀規劃設計為目的進行美化裝修工程。</w:t>
      </w:r>
      <w:r w:rsidRPr="002A0A71">
        <w:rPr>
          <w:rFonts w:ascii="標楷體" w:eastAsia="標楷體" w:hAnsi="標楷體"/>
          <w:color w:val="000000"/>
          <w:sz w:val="28"/>
          <w:szCs w:val="28"/>
        </w:rPr>
        <w:t>但</w:t>
      </w:r>
      <w:r w:rsidRPr="002A0A71">
        <w:rPr>
          <w:rFonts w:ascii="標楷體" w:eastAsia="標楷體" w:hAnsi="標楷體" w:hint="eastAsia"/>
          <w:color w:val="000000"/>
          <w:sz w:val="28"/>
          <w:szCs w:val="28"/>
        </w:rPr>
        <w:t>應提出申請書、設計圖、施工計畫、維護計畫等文件，報經文化局核准後，始得為之。其費用由認養人自行負擔</w:t>
      </w:r>
      <w:r w:rsidRPr="002A0A71">
        <w:rPr>
          <w:rFonts w:ascii="標楷體" w:eastAsia="標楷體" w:hAnsi="標楷體"/>
          <w:color w:val="000000"/>
          <w:sz w:val="28"/>
          <w:szCs w:val="28"/>
        </w:rPr>
        <w:t>。</w:t>
      </w:r>
      <w:r w:rsidR="002C2609" w:rsidRPr="00374AF7">
        <w:rPr>
          <w:rFonts w:ascii="標楷體" w:eastAsia="標楷體" w:hAnsi="標楷體"/>
          <w:color w:val="000000"/>
          <w:sz w:val="28"/>
          <w:szCs w:val="28"/>
        </w:rPr>
        <w:t>。</w:t>
      </w:r>
    </w:p>
    <w:p w:rsidR="002C2609" w:rsidRPr="00787221" w:rsidRDefault="006F77DC" w:rsidP="00496B4C">
      <w:pPr>
        <w:spacing w:line="460" w:lineRule="exact"/>
        <w:ind w:leftChars="354" w:left="850" w:firstLineChars="202" w:firstLine="566"/>
        <w:contextualSpacing/>
        <w:rPr>
          <w:rFonts w:ascii="標楷體" w:eastAsia="標楷體" w:hAnsi="標楷體"/>
          <w:color w:val="000000" w:themeColor="text1"/>
          <w:sz w:val="28"/>
          <w:szCs w:val="28"/>
        </w:rPr>
      </w:pPr>
      <w:r w:rsidRPr="002A0A71">
        <w:rPr>
          <w:rFonts w:ascii="標楷體" w:eastAsia="標楷體" w:hAnsi="標楷體" w:hint="eastAsia"/>
          <w:color w:val="000000"/>
          <w:sz w:val="28"/>
          <w:szCs w:val="28"/>
        </w:rPr>
        <w:t>前條管理維護或本條改善、裝修所需之費用，認養人如有困難，得申請補助部分經費。</w:t>
      </w:r>
    </w:p>
    <w:p w:rsidR="00496B4C" w:rsidRPr="00787221" w:rsidRDefault="006F77DC" w:rsidP="00AA77C9">
      <w:pPr>
        <w:spacing w:line="460" w:lineRule="exact"/>
        <w:ind w:leftChars="-1" w:left="844" w:hangingChars="302" w:hanging="846"/>
        <w:contextualSpacing/>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第十</w:t>
      </w:r>
      <w:r w:rsidR="00496B4C" w:rsidRPr="00787221">
        <w:rPr>
          <w:rFonts w:ascii="標楷體" w:eastAsia="標楷體" w:hAnsi="標楷體" w:hint="eastAsia"/>
          <w:color w:val="000000" w:themeColor="text1"/>
          <w:sz w:val="28"/>
          <w:szCs w:val="28"/>
        </w:rPr>
        <w:t xml:space="preserve">條    </w:t>
      </w:r>
      <w:r w:rsidRPr="002A0A71">
        <w:rPr>
          <w:rFonts w:ascii="標楷體" w:eastAsia="標楷體" w:hAnsi="標楷體" w:hint="eastAsia"/>
          <w:color w:val="000000"/>
          <w:sz w:val="28"/>
          <w:szCs w:val="28"/>
        </w:rPr>
        <w:t>認養人於簽訂認養契約後，應依認養標的之財產及物品使用現況辦理點交。</w:t>
      </w:r>
    </w:p>
    <w:p w:rsidR="00496B4C" w:rsidRPr="00787221" w:rsidRDefault="006F77DC" w:rsidP="00496B4C">
      <w:pPr>
        <w:spacing w:line="460" w:lineRule="exact"/>
        <w:ind w:leftChars="354" w:left="850" w:firstLineChars="202" w:firstLine="566"/>
        <w:contextualSpacing/>
        <w:rPr>
          <w:rFonts w:ascii="標楷體" w:eastAsia="標楷體" w:hAnsi="標楷體"/>
          <w:color w:val="000000" w:themeColor="text1"/>
          <w:sz w:val="28"/>
          <w:szCs w:val="28"/>
        </w:rPr>
      </w:pPr>
      <w:r w:rsidRPr="002A0A71">
        <w:rPr>
          <w:rFonts w:ascii="標楷體" w:eastAsia="標楷體" w:hAnsi="標楷體" w:hint="eastAsia"/>
          <w:color w:val="000000"/>
          <w:sz w:val="28"/>
          <w:szCs w:val="28"/>
        </w:rPr>
        <w:t>於認養期間屆滿、認養契約終止或解除時，認養人應返還點交之財產及物品，並回復認養標的原狀；其未依規定回復原狀者，文化局得代為履行，所需費用並得向認養人追償之。</w:t>
      </w:r>
    </w:p>
    <w:p w:rsidR="00496B4C" w:rsidRPr="00787221" w:rsidRDefault="006F77DC" w:rsidP="00496B4C">
      <w:pPr>
        <w:spacing w:line="460" w:lineRule="exact"/>
        <w:ind w:leftChars="354" w:left="850" w:firstLineChars="202" w:firstLine="566"/>
        <w:contextualSpacing/>
        <w:rPr>
          <w:rFonts w:ascii="標楷體" w:eastAsia="標楷體" w:hAnsi="標楷體"/>
          <w:color w:val="000000" w:themeColor="text1"/>
          <w:sz w:val="28"/>
          <w:szCs w:val="28"/>
        </w:rPr>
      </w:pPr>
      <w:r w:rsidRPr="002A0A71">
        <w:rPr>
          <w:rFonts w:ascii="標楷體" w:eastAsia="標楷體" w:hAnsi="標楷體" w:hint="eastAsia"/>
          <w:color w:val="000000"/>
          <w:sz w:val="28"/>
          <w:szCs w:val="28"/>
        </w:rPr>
        <w:t>前項規定，如經文化局核准之更新改善或美化裝修工程，認養人得以現況點交返還。</w:t>
      </w:r>
    </w:p>
    <w:p w:rsidR="00496B4C" w:rsidRPr="00787221" w:rsidRDefault="006F77DC" w:rsidP="00AA77C9">
      <w:pPr>
        <w:spacing w:line="460" w:lineRule="exact"/>
        <w:ind w:leftChars="-18" w:left="811" w:hangingChars="305" w:hanging="854"/>
        <w:contextualSpacing/>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第十一</w:t>
      </w:r>
      <w:r w:rsidR="00496B4C" w:rsidRPr="00787221">
        <w:rPr>
          <w:rFonts w:ascii="標楷體" w:eastAsia="標楷體" w:hAnsi="標楷體" w:hint="eastAsia"/>
          <w:color w:val="000000" w:themeColor="text1"/>
          <w:sz w:val="28"/>
          <w:szCs w:val="28"/>
        </w:rPr>
        <w:t xml:space="preserve">條    </w:t>
      </w:r>
      <w:r w:rsidRPr="002A0A71">
        <w:rPr>
          <w:rFonts w:ascii="標楷體" w:eastAsia="標楷體" w:hAnsi="標楷體" w:hint="eastAsia"/>
          <w:color w:val="000000"/>
          <w:sz w:val="28"/>
          <w:szCs w:val="28"/>
        </w:rPr>
        <w:t>認養人得申請於認養標的之適當地點設置認養標誌牌。</w:t>
      </w:r>
    </w:p>
    <w:p w:rsidR="00496B4C" w:rsidRPr="00787221" w:rsidRDefault="006F77DC" w:rsidP="00AA77C9">
      <w:pPr>
        <w:spacing w:line="460" w:lineRule="exact"/>
        <w:ind w:leftChars="454" w:left="1090" w:firstLineChars="202" w:firstLine="566"/>
        <w:contextualSpacing/>
        <w:rPr>
          <w:rFonts w:ascii="標楷體" w:eastAsia="標楷體" w:hAnsi="標楷體"/>
          <w:color w:val="000000" w:themeColor="text1"/>
          <w:sz w:val="28"/>
          <w:szCs w:val="28"/>
        </w:rPr>
      </w:pPr>
      <w:r w:rsidRPr="002A0A71">
        <w:rPr>
          <w:rFonts w:ascii="標楷體" w:eastAsia="標楷體" w:hAnsi="標楷體" w:hint="eastAsia"/>
          <w:color w:val="000000"/>
          <w:sz w:val="28"/>
          <w:szCs w:val="28"/>
        </w:rPr>
        <w:t>認養標誌牌之內容、規格、材質、數量及位置，應報文化局核准，始得設置。</w:t>
      </w:r>
    </w:p>
    <w:p w:rsidR="00496B4C" w:rsidRPr="00787221" w:rsidRDefault="006F77DC" w:rsidP="00AA77C9">
      <w:pPr>
        <w:spacing w:line="460" w:lineRule="exact"/>
        <w:ind w:leftChars="454" w:left="1090" w:firstLineChars="202" w:firstLine="566"/>
        <w:contextualSpacing/>
        <w:rPr>
          <w:rFonts w:ascii="標楷體" w:eastAsia="標楷體" w:hAnsi="標楷體"/>
          <w:color w:val="000000" w:themeColor="text1"/>
          <w:sz w:val="28"/>
          <w:szCs w:val="28"/>
        </w:rPr>
      </w:pPr>
      <w:r w:rsidRPr="002A0A71">
        <w:rPr>
          <w:rFonts w:ascii="標楷體" w:eastAsia="標楷體" w:hAnsi="標楷體" w:hint="eastAsia"/>
          <w:color w:val="000000"/>
          <w:sz w:val="28"/>
          <w:szCs w:val="28"/>
        </w:rPr>
        <w:t>認養標誌牌應於認養期間屆滿、認養契約終止或解除之日起十日內，由認養人自行拆除並回復原狀，逾期未移除者，視同廢棄物，得由文化局逕行</w:t>
      </w:r>
      <w:r w:rsidRPr="002A0A71">
        <w:rPr>
          <w:rFonts w:ascii="標楷體" w:eastAsia="標楷體" w:hAnsi="標楷體"/>
          <w:color w:val="000000"/>
          <w:sz w:val="28"/>
          <w:szCs w:val="28"/>
        </w:rPr>
        <w:t>處理，並得追償所需費用</w:t>
      </w:r>
      <w:r w:rsidRPr="002A0A71">
        <w:rPr>
          <w:rFonts w:ascii="標楷體" w:eastAsia="標楷體" w:hAnsi="標楷體" w:hint="eastAsia"/>
          <w:color w:val="000000"/>
          <w:sz w:val="28"/>
          <w:szCs w:val="28"/>
        </w:rPr>
        <w:t>。</w:t>
      </w:r>
    </w:p>
    <w:p w:rsidR="00496B4C" w:rsidRPr="00787221" w:rsidRDefault="00496B4C" w:rsidP="00AA77C9">
      <w:pPr>
        <w:spacing w:line="460" w:lineRule="exact"/>
        <w:ind w:leftChars="-18" w:left="665" w:hangingChars="253" w:hanging="708"/>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第十</w:t>
      </w:r>
      <w:r w:rsidR="006F77DC">
        <w:rPr>
          <w:rFonts w:ascii="標楷體" w:eastAsia="標楷體" w:hAnsi="標楷體" w:hint="eastAsia"/>
          <w:color w:val="000000" w:themeColor="text1"/>
          <w:sz w:val="28"/>
          <w:szCs w:val="28"/>
        </w:rPr>
        <w:t>二</w:t>
      </w:r>
      <w:r w:rsidRPr="00787221">
        <w:rPr>
          <w:rFonts w:ascii="標楷體" w:eastAsia="標楷體" w:hAnsi="標楷體" w:hint="eastAsia"/>
          <w:color w:val="000000" w:themeColor="text1"/>
          <w:sz w:val="28"/>
          <w:szCs w:val="28"/>
        </w:rPr>
        <w:t>條    認養人應遵守下列規定:</w:t>
      </w:r>
    </w:p>
    <w:p w:rsidR="00496B4C" w:rsidRPr="00787221" w:rsidRDefault="00496B4C" w:rsidP="00496B4C">
      <w:pPr>
        <w:spacing w:line="460" w:lineRule="exact"/>
        <w:ind w:leftChars="119" w:left="992" w:hangingChars="252" w:hanging="706"/>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lastRenderedPageBreak/>
        <w:t xml:space="preserve">        </w:t>
      </w:r>
      <w:r w:rsidR="00AA77C9">
        <w:rPr>
          <w:rFonts w:ascii="標楷體" w:eastAsia="標楷體" w:hAnsi="標楷體"/>
          <w:color w:val="000000" w:themeColor="text1"/>
          <w:sz w:val="28"/>
          <w:szCs w:val="28"/>
        </w:rPr>
        <w:t xml:space="preserve">  </w:t>
      </w:r>
      <w:r w:rsidRPr="00787221">
        <w:rPr>
          <w:rFonts w:ascii="標楷體" w:eastAsia="標楷體" w:hAnsi="標楷體" w:hint="eastAsia"/>
          <w:color w:val="000000" w:themeColor="text1"/>
          <w:sz w:val="28"/>
          <w:szCs w:val="28"/>
        </w:rPr>
        <w:t>一、認養標的不得封閉，應適度開放大眾參觀。</w:t>
      </w:r>
    </w:p>
    <w:p w:rsidR="00496B4C" w:rsidRPr="00787221" w:rsidRDefault="00496B4C" w:rsidP="00AA77C9">
      <w:pPr>
        <w:spacing w:line="460" w:lineRule="exact"/>
        <w:ind w:leftChars="691" w:left="2224" w:hangingChars="202" w:hanging="566"/>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二、認養期間內不得有營利行為。但經文化局事前同意，得舉辦無收益、非商業性之公益活動。</w:t>
      </w:r>
    </w:p>
    <w:p w:rsidR="00496B4C" w:rsidRPr="00787221" w:rsidRDefault="00496B4C" w:rsidP="00496B4C">
      <w:pPr>
        <w:spacing w:line="460" w:lineRule="exact"/>
        <w:ind w:leftChars="118" w:left="1983" w:hangingChars="607" w:hanging="1700"/>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        </w:t>
      </w:r>
      <w:r w:rsidR="00AA77C9">
        <w:rPr>
          <w:rFonts w:ascii="標楷體" w:eastAsia="標楷體" w:hAnsi="標楷體"/>
          <w:color w:val="000000" w:themeColor="text1"/>
          <w:sz w:val="28"/>
          <w:szCs w:val="28"/>
        </w:rPr>
        <w:t xml:space="preserve">  </w:t>
      </w:r>
      <w:r w:rsidRPr="00787221">
        <w:rPr>
          <w:rFonts w:ascii="標楷體" w:eastAsia="標楷體" w:hAnsi="標楷體" w:hint="eastAsia"/>
          <w:color w:val="000000" w:themeColor="text1"/>
          <w:sz w:val="28"/>
          <w:szCs w:val="28"/>
        </w:rPr>
        <w:t>三、未經核准，不得於認養標的為擴建、整建或改建。</w:t>
      </w:r>
    </w:p>
    <w:p w:rsidR="00496B4C" w:rsidRPr="00787221" w:rsidRDefault="00496B4C" w:rsidP="00496B4C">
      <w:pPr>
        <w:spacing w:line="460" w:lineRule="exact"/>
        <w:ind w:leftChars="119" w:left="992" w:hangingChars="252" w:hanging="706"/>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       </w:t>
      </w:r>
      <w:r w:rsidR="00AA77C9">
        <w:rPr>
          <w:rFonts w:ascii="標楷體" w:eastAsia="標楷體" w:hAnsi="標楷體"/>
          <w:color w:val="000000" w:themeColor="text1"/>
          <w:sz w:val="28"/>
          <w:szCs w:val="28"/>
        </w:rPr>
        <w:t xml:space="preserve">  </w:t>
      </w:r>
      <w:r w:rsidRPr="00787221">
        <w:rPr>
          <w:rFonts w:ascii="標楷體" w:eastAsia="標楷體" w:hAnsi="標楷體" w:hint="eastAsia"/>
          <w:color w:val="000000" w:themeColor="text1"/>
          <w:sz w:val="28"/>
          <w:szCs w:val="28"/>
        </w:rPr>
        <w:t xml:space="preserve"> 四、不得將認養契約權利義務之全部或一部讓與他人。</w:t>
      </w:r>
    </w:p>
    <w:p w:rsidR="00496B4C" w:rsidRPr="00787221" w:rsidRDefault="00496B4C" w:rsidP="00496B4C">
      <w:pPr>
        <w:spacing w:line="460" w:lineRule="exact"/>
        <w:ind w:leftChars="119" w:left="992" w:hangingChars="252" w:hanging="706"/>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        </w:t>
      </w:r>
      <w:r w:rsidR="00AA77C9">
        <w:rPr>
          <w:rFonts w:ascii="標楷體" w:eastAsia="標楷體" w:hAnsi="標楷體"/>
          <w:color w:val="000000" w:themeColor="text1"/>
          <w:sz w:val="28"/>
          <w:szCs w:val="28"/>
        </w:rPr>
        <w:t xml:space="preserve">  </w:t>
      </w:r>
      <w:r w:rsidRPr="00787221">
        <w:rPr>
          <w:rFonts w:ascii="標楷體" w:eastAsia="標楷體" w:hAnsi="標楷體" w:hint="eastAsia"/>
          <w:color w:val="000000" w:themeColor="text1"/>
          <w:sz w:val="28"/>
          <w:szCs w:val="28"/>
        </w:rPr>
        <w:t>五、不得有違反法令及善良風俗之行為。</w:t>
      </w:r>
    </w:p>
    <w:p w:rsidR="00496B4C" w:rsidRPr="00787221" w:rsidRDefault="00496B4C" w:rsidP="00AA77C9">
      <w:pPr>
        <w:spacing w:line="460" w:lineRule="exact"/>
        <w:ind w:leftChars="119" w:left="2252" w:hangingChars="702" w:hanging="1966"/>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        </w:t>
      </w:r>
      <w:r w:rsidR="00AA77C9">
        <w:rPr>
          <w:rFonts w:ascii="標楷體" w:eastAsia="標楷體" w:hAnsi="標楷體"/>
          <w:color w:val="000000" w:themeColor="text1"/>
          <w:sz w:val="28"/>
          <w:szCs w:val="28"/>
        </w:rPr>
        <w:t xml:space="preserve">  </w:t>
      </w:r>
      <w:r w:rsidRPr="00787221">
        <w:rPr>
          <w:rFonts w:ascii="標楷體" w:eastAsia="標楷體" w:hAnsi="標楷體" w:hint="eastAsia"/>
          <w:color w:val="000000" w:themeColor="text1"/>
          <w:sz w:val="28"/>
          <w:szCs w:val="28"/>
        </w:rPr>
        <w:t>六、發現認養標的遭人毀損或占用時，應立即通報文資處。</w:t>
      </w:r>
    </w:p>
    <w:p w:rsidR="00496B4C" w:rsidRPr="00787221" w:rsidRDefault="00496B4C" w:rsidP="00AA77C9">
      <w:pPr>
        <w:tabs>
          <w:tab w:val="left" w:pos="1418"/>
        </w:tabs>
        <w:spacing w:line="460" w:lineRule="exact"/>
        <w:ind w:leftChars="-18" w:left="1091" w:hangingChars="405" w:hanging="1134"/>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第十</w:t>
      </w:r>
      <w:r w:rsidR="006F77DC">
        <w:rPr>
          <w:rFonts w:ascii="標楷體" w:eastAsia="標楷體" w:hAnsi="標楷體" w:hint="eastAsia"/>
          <w:color w:val="000000" w:themeColor="text1"/>
          <w:sz w:val="28"/>
          <w:szCs w:val="28"/>
        </w:rPr>
        <w:t>三</w:t>
      </w:r>
      <w:r w:rsidRPr="00787221">
        <w:rPr>
          <w:rFonts w:ascii="標楷體" w:eastAsia="標楷體" w:hAnsi="標楷體" w:hint="eastAsia"/>
          <w:color w:val="000000" w:themeColor="text1"/>
          <w:sz w:val="28"/>
          <w:szCs w:val="28"/>
        </w:rPr>
        <w:t xml:space="preserve">條    </w:t>
      </w:r>
      <w:r w:rsidR="006F77DC" w:rsidRPr="002A0A71">
        <w:rPr>
          <w:rFonts w:ascii="標楷體" w:eastAsia="標楷體" w:hAnsi="標楷體" w:hint="eastAsia"/>
          <w:color w:val="000000" w:themeColor="text1"/>
          <w:sz w:val="28"/>
          <w:szCs w:val="28"/>
        </w:rPr>
        <w:t>認養人有下列情形之一者，文化局得終止或解除認養契約，認養人不得請求任何補(賠)償:</w:t>
      </w:r>
    </w:p>
    <w:p w:rsidR="00496B4C" w:rsidRPr="00787221" w:rsidRDefault="00496B4C" w:rsidP="00AA77C9">
      <w:pPr>
        <w:spacing w:line="460" w:lineRule="exact"/>
        <w:ind w:leftChars="690" w:left="1656"/>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一、認養人違反本辦法、認養契約或法令規定。</w:t>
      </w:r>
    </w:p>
    <w:p w:rsidR="00496B4C" w:rsidRPr="00787221" w:rsidRDefault="00496B4C" w:rsidP="00AA77C9">
      <w:pPr>
        <w:spacing w:line="460" w:lineRule="exact"/>
        <w:ind w:leftChars="690" w:left="2224" w:hangingChars="203" w:hanging="568"/>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二、考評成績欠佳或經文化局認定管理維護不善，經通知認養人限期改善，屆期仍不改善者。</w:t>
      </w:r>
    </w:p>
    <w:p w:rsidR="00496B4C" w:rsidRPr="00787221" w:rsidRDefault="00496B4C" w:rsidP="00496B4C">
      <w:pPr>
        <w:spacing w:line="460" w:lineRule="exact"/>
        <w:ind w:leftChars="118" w:left="1983" w:hangingChars="607" w:hanging="1700"/>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 xml:space="preserve">        </w:t>
      </w:r>
      <w:r w:rsidR="00AA77C9">
        <w:rPr>
          <w:rFonts w:ascii="標楷體" w:eastAsia="標楷體" w:hAnsi="標楷體"/>
          <w:color w:val="000000" w:themeColor="text1"/>
          <w:sz w:val="28"/>
          <w:szCs w:val="28"/>
        </w:rPr>
        <w:t xml:space="preserve">  </w:t>
      </w:r>
      <w:r w:rsidRPr="00787221">
        <w:rPr>
          <w:rFonts w:ascii="標楷體" w:eastAsia="標楷體" w:hAnsi="標楷體" w:hint="eastAsia"/>
          <w:color w:val="000000" w:themeColor="text1"/>
          <w:sz w:val="28"/>
          <w:szCs w:val="28"/>
        </w:rPr>
        <w:t>三、文化局有收回自行管理或另依法處理之必要。</w:t>
      </w:r>
    </w:p>
    <w:p w:rsidR="00496B4C" w:rsidRPr="00787221" w:rsidRDefault="00496B4C" w:rsidP="00AA77C9">
      <w:pPr>
        <w:tabs>
          <w:tab w:val="left" w:pos="1418"/>
        </w:tabs>
        <w:spacing w:line="460" w:lineRule="exact"/>
        <w:ind w:leftChars="-18" w:left="1088" w:hangingChars="404" w:hanging="1131"/>
        <w:contextualSpacing/>
        <w:rPr>
          <w:rFonts w:ascii="標楷體" w:eastAsia="標楷體" w:hAnsi="標楷體"/>
          <w:color w:val="000000" w:themeColor="text1"/>
          <w:sz w:val="28"/>
          <w:szCs w:val="28"/>
        </w:rPr>
      </w:pPr>
      <w:r w:rsidRPr="00787221">
        <w:rPr>
          <w:rFonts w:ascii="標楷體" w:eastAsia="標楷體" w:hAnsi="標楷體" w:hint="eastAsia"/>
          <w:color w:val="000000" w:themeColor="text1"/>
          <w:sz w:val="28"/>
          <w:szCs w:val="28"/>
        </w:rPr>
        <w:t>第十</w:t>
      </w:r>
      <w:r w:rsidR="006F77DC">
        <w:rPr>
          <w:rFonts w:ascii="標楷體" w:eastAsia="標楷體" w:hAnsi="標楷體" w:hint="eastAsia"/>
          <w:color w:val="000000" w:themeColor="text1"/>
          <w:sz w:val="28"/>
          <w:szCs w:val="28"/>
        </w:rPr>
        <w:t>四</w:t>
      </w:r>
      <w:r w:rsidRPr="00787221">
        <w:rPr>
          <w:rFonts w:ascii="標楷體" w:eastAsia="標楷體" w:hAnsi="標楷體" w:hint="eastAsia"/>
          <w:color w:val="000000" w:themeColor="text1"/>
          <w:sz w:val="28"/>
          <w:szCs w:val="28"/>
        </w:rPr>
        <w:t xml:space="preserve">條    </w:t>
      </w:r>
      <w:r w:rsidR="00770617" w:rsidRPr="002A0A71">
        <w:rPr>
          <w:rFonts w:ascii="標楷體" w:eastAsia="標楷體" w:hAnsi="標楷體" w:hint="eastAsia"/>
          <w:color w:val="000000" w:themeColor="text1"/>
          <w:sz w:val="28"/>
          <w:szCs w:val="28"/>
        </w:rPr>
        <w:t>文化局於認養期間，就認養標的有管理維護之權，並得隨時檢查、考評認養人之認養情形，其績效優良者，文化局得公開表揚</w:t>
      </w:r>
      <w:r w:rsidR="00770617" w:rsidRPr="002A0A71">
        <w:rPr>
          <w:rFonts w:ascii="標楷體" w:eastAsia="標楷體" w:hAnsi="標楷體"/>
          <w:color w:val="000000" w:themeColor="text1"/>
          <w:sz w:val="28"/>
          <w:szCs w:val="28"/>
        </w:rPr>
        <w:t>或</w:t>
      </w:r>
      <w:r w:rsidR="00770617" w:rsidRPr="002A0A71">
        <w:rPr>
          <w:rFonts w:ascii="標楷體" w:eastAsia="標楷體" w:hAnsi="標楷體" w:hint="eastAsia"/>
          <w:color w:val="000000" w:themeColor="text1"/>
          <w:sz w:val="28"/>
          <w:szCs w:val="28"/>
        </w:rPr>
        <w:t>獎勵。</w:t>
      </w:r>
    </w:p>
    <w:p w:rsidR="00496B4C" w:rsidRPr="00787221" w:rsidRDefault="006F77DC" w:rsidP="00AA77C9">
      <w:pPr>
        <w:spacing w:line="460" w:lineRule="exact"/>
        <w:ind w:leftChars="-18" w:left="665" w:hangingChars="253" w:hanging="708"/>
        <w:contextualSpacing/>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第十五</w:t>
      </w:r>
      <w:r w:rsidR="00496B4C" w:rsidRPr="00787221">
        <w:rPr>
          <w:rFonts w:ascii="標楷體" w:eastAsia="標楷體" w:hAnsi="標楷體" w:hint="eastAsia"/>
          <w:color w:val="000000" w:themeColor="text1"/>
          <w:sz w:val="28"/>
          <w:szCs w:val="28"/>
        </w:rPr>
        <w:t xml:space="preserve">條    </w:t>
      </w:r>
      <w:r w:rsidR="00770617" w:rsidRPr="002A0A71">
        <w:rPr>
          <w:rFonts w:ascii="標楷體" w:eastAsia="標楷體" w:hAnsi="標楷體" w:hint="eastAsia"/>
          <w:color w:val="000000"/>
          <w:sz w:val="28"/>
          <w:szCs w:val="28"/>
        </w:rPr>
        <w:t>本</w:t>
      </w:r>
      <w:r w:rsidR="00770617" w:rsidRPr="002A0A71">
        <w:rPr>
          <w:rFonts w:ascii="標楷體" w:eastAsia="標楷體" w:hAnsi="標楷體" w:hint="eastAsia"/>
          <w:color w:val="000000" w:themeColor="text1"/>
          <w:sz w:val="28"/>
          <w:szCs w:val="28"/>
        </w:rPr>
        <w:t>辦法所需書表格式，由文</w:t>
      </w:r>
      <w:r w:rsidR="00770617" w:rsidRPr="002A0A71">
        <w:rPr>
          <w:rFonts w:ascii="標楷體" w:eastAsia="標楷體" w:hAnsi="標楷體"/>
          <w:color w:val="000000" w:themeColor="text1"/>
          <w:sz w:val="28"/>
          <w:szCs w:val="28"/>
        </w:rPr>
        <w:t>化局</w:t>
      </w:r>
      <w:r w:rsidR="00770617" w:rsidRPr="002A0A71">
        <w:rPr>
          <w:rFonts w:ascii="標楷體" w:eastAsia="標楷體" w:hAnsi="標楷體" w:hint="eastAsia"/>
          <w:color w:val="000000" w:themeColor="text1"/>
          <w:sz w:val="28"/>
          <w:szCs w:val="28"/>
        </w:rPr>
        <w:t>另定之。</w:t>
      </w:r>
    </w:p>
    <w:p w:rsidR="00496B4C" w:rsidRPr="00787221" w:rsidRDefault="006F77DC" w:rsidP="00AA77C9">
      <w:pPr>
        <w:spacing w:line="460" w:lineRule="exact"/>
        <w:ind w:leftChars="-18" w:left="665" w:hangingChars="253" w:hanging="708"/>
        <w:contextualSpacing/>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第十六</w:t>
      </w:r>
      <w:r w:rsidR="00496B4C" w:rsidRPr="00787221">
        <w:rPr>
          <w:rFonts w:ascii="標楷體" w:eastAsia="標楷體" w:hAnsi="標楷體" w:hint="eastAsia"/>
          <w:color w:val="000000" w:themeColor="text1"/>
          <w:sz w:val="28"/>
          <w:szCs w:val="28"/>
        </w:rPr>
        <w:t>條    本辦法自發布日施行。</w:t>
      </w:r>
    </w:p>
    <w:p w:rsidR="00496B4C" w:rsidRPr="00496B4C" w:rsidRDefault="00496B4C" w:rsidP="00977704">
      <w:pPr>
        <w:spacing w:beforeLines="50" w:before="180" w:afterLines="50" w:after="180" w:line="200" w:lineRule="exact"/>
        <w:ind w:left="980" w:hanging="980"/>
        <w:jc w:val="both"/>
        <w:rPr>
          <w:rFonts w:ascii="標楷體" w:eastAsia="標楷體" w:hAnsi="標楷體"/>
          <w:color w:val="000000"/>
          <w:sz w:val="28"/>
          <w:szCs w:val="28"/>
        </w:rPr>
      </w:pPr>
    </w:p>
    <w:p w:rsidR="00977704" w:rsidRPr="00496B4C" w:rsidRDefault="00977704" w:rsidP="00977704">
      <w:pPr>
        <w:spacing w:beforeLines="50" w:before="180" w:afterLines="50" w:after="180" w:line="200" w:lineRule="exact"/>
        <w:ind w:left="980" w:hanging="980"/>
        <w:jc w:val="both"/>
        <w:rPr>
          <w:rFonts w:ascii="標楷體" w:eastAsia="標楷體" w:hAnsi="標楷體"/>
          <w:color w:val="000000"/>
          <w:sz w:val="28"/>
          <w:szCs w:val="28"/>
        </w:rPr>
      </w:pPr>
      <w:r w:rsidRPr="00496B4C">
        <w:rPr>
          <w:rFonts w:ascii="標楷體" w:eastAsia="標楷體" w:hAnsi="標楷體"/>
          <w:noProof/>
          <w:color w:val="000000"/>
          <w:sz w:val="28"/>
          <w:szCs w:val="28"/>
        </w:rPr>
        <mc:AlternateContent>
          <mc:Choice Requires="wps">
            <w:drawing>
              <wp:anchor distT="0" distB="0" distL="114300" distR="114300" simplePos="0" relativeHeight="251659264" behindDoc="0" locked="0" layoutInCell="1" allowOverlap="1" wp14:anchorId="261C3CF9" wp14:editId="245BDE52">
                <wp:simplePos x="0" y="0"/>
                <wp:positionH relativeFrom="leftMargin">
                  <wp:align>right</wp:align>
                </wp:positionH>
                <wp:positionV relativeFrom="paragraph">
                  <wp:posOffset>302989</wp:posOffset>
                </wp:positionV>
                <wp:extent cx="838200" cy="285750"/>
                <wp:effectExtent l="0" t="0" r="19050"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5750"/>
                        </a:xfrm>
                        <a:prstGeom prst="rect">
                          <a:avLst/>
                        </a:prstGeom>
                        <a:solidFill>
                          <a:sysClr val="window" lastClr="FFFFFF"/>
                        </a:solidFill>
                        <a:ln w="9525">
                          <a:solidFill>
                            <a:sysClr val="window" lastClr="FFFFFF"/>
                          </a:solidFill>
                          <a:miter lim="800000"/>
                          <a:headEnd/>
                          <a:tailEnd/>
                        </a:ln>
                      </wps:spPr>
                      <wps:txbx>
                        <w:txbxContent>
                          <w:p w:rsidR="00977704" w:rsidRPr="00A27FA1" w:rsidRDefault="00977704" w:rsidP="00977704">
                            <w:pPr>
                              <w:spacing w:line="240" w:lineRule="exact"/>
                              <w:rPr>
                                <w:rFonts w:ascii="標楷體" w:eastAsia="標楷體" w:hAnsi="標楷體"/>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C3CF9" id="_x0000_t202" coordsize="21600,21600" o:spt="202" path="m,l,21600r21600,l21600,xe">
                <v:stroke joinstyle="miter"/>
                <v:path gradientshapeok="t" o:connecttype="rect"/>
              </v:shapetype>
              <v:shape id="文字方塊 2" o:spid="_x0000_s1026" type="#_x0000_t202" style="position:absolute;left:0;text-align:left;margin-left:14.8pt;margin-top:23.85pt;width:66pt;height:2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" fillcolor="window" strokecolor="window">
                <v:textbox>
                  <w:txbxContent>
                    <w:p w:rsidR="00977704" w:rsidRPr="00A27FA1" w:rsidRDefault="00977704" w:rsidP="00977704">
                      <w:pPr>
                        <w:spacing w:line="240" w:lineRule="exact"/>
                        <w:rPr>
                          <w:rFonts w:ascii="標楷體" w:eastAsia="標楷體" w:hAnsi="標楷體"/>
                          <w:sz w:val="28"/>
                          <w:szCs w:val="28"/>
                        </w:rPr>
                      </w:pPr>
                      <w:bookmarkStart w:id="1" w:name="_GoBack"/>
                      <w:bookmarkEnd w:id="1"/>
                    </w:p>
                  </w:txbxContent>
                </v:textbox>
                <w10:wrap anchorx="margin"/>
              </v:shape>
            </w:pict>
          </mc:Fallback>
        </mc:AlternateContent>
      </w:r>
    </w:p>
    <w:sectPr w:rsidR="00977704" w:rsidRPr="00496B4C" w:rsidSect="00404F7E">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615" w:rsidRDefault="00D97615" w:rsidP="00432A05">
      <w:r>
        <w:separator/>
      </w:r>
    </w:p>
  </w:endnote>
  <w:endnote w:type="continuationSeparator" w:id="0">
    <w:p w:rsidR="00D97615" w:rsidRDefault="00D97615" w:rsidP="0043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32362"/>
      <w:docPartObj>
        <w:docPartGallery w:val="Page Numbers (Bottom of Page)"/>
        <w:docPartUnique/>
      </w:docPartObj>
    </w:sdtPr>
    <w:sdtEndPr/>
    <w:sdtContent>
      <w:p w:rsidR="00BF46FC" w:rsidRDefault="006206D3">
        <w:pPr>
          <w:pStyle w:val="a6"/>
          <w:jc w:val="center"/>
        </w:pPr>
        <w:r>
          <w:fldChar w:fldCharType="begin"/>
        </w:r>
        <w:r>
          <w:instrText xml:space="preserve"> PAGE   \* MERGEFORMAT </w:instrText>
        </w:r>
        <w:r>
          <w:fldChar w:fldCharType="separate"/>
        </w:r>
        <w:r w:rsidR="00862820" w:rsidRPr="00862820">
          <w:rPr>
            <w:noProof/>
            <w:lang w:val="zh-TW"/>
          </w:rPr>
          <w:t>3</w:t>
        </w:r>
        <w:r>
          <w:rPr>
            <w:noProof/>
            <w:lang w:val="zh-TW"/>
          </w:rPr>
          <w:fldChar w:fldCharType="end"/>
        </w:r>
      </w:p>
    </w:sdtContent>
  </w:sdt>
  <w:p w:rsidR="00BF46FC" w:rsidRDefault="00BF46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615" w:rsidRDefault="00D97615" w:rsidP="00432A05">
      <w:r>
        <w:separator/>
      </w:r>
    </w:p>
  </w:footnote>
  <w:footnote w:type="continuationSeparator" w:id="0">
    <w:p w:rsidR="00D97615" w:rsidRDefault="00D97615" w:rsidP="00432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93C32"/>
    <w:multiLevelType w:val="hybridMultilevel"/>
    <w:tmpl w:val="82242C20"/>
    <w:lvl w:ilvl="0" w:tplc="E67250EA">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 w15:restartNumberingAfterBreak="0">
    <w:nsid w:val="0B8C29C5"/>
    <w:multiLevelType w:val="hybridMultilevel"/>
    <w:tmpl w:val="C004D756"/>
    <w:lvl w:ilvl="0" w:tplc="A726C6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C651A5"/>
    <w:multiLevelType w:val="hybridMultilevel"/>
    <w:tmpl w:val="09541902"/>
    <w:lvl w:ilvl="0" w:tplc="D7BAB2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40134A"/>
    <w:multiLevelType w:val="hybridMultilevel"/>
    <w:tmpl w:val="A62A2A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1717362"/>
    <w:multiLevelType w:val="hybridMultilevel"/>
    <w:tmpl w:val="BDC856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AC64D5"/>
    <w:multiLevelType w:val="hybridMultilevel"/>
    <w:tmpl w:val="2A98838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B635D5F"/>
    <w:multiLevelType w:val="hybridMultilevel"/>
    <w:tmpl w:val="97F4EBE0"/>
    <w:lvl w:ilvl="0" w:tplc="5930E6D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393055"/>
    <w:multiLevelType w:val="hybridMultilevel"/>
    <w:tmpl w:val="DA94FEC8"/>
    <w:lvl w:ilvl="0" w:tplc="E8C08C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DF0D45"/>
    <w:multiLevelType w:val="hybridMultilevel"/>
    <w:tmpl w:val="10EEE560"/>
    <w:lvl w:ilvl="0" w:tplc="0FBE4172">
      <w:start w:val="2"/>
      <w:numFmt w:val="taiwaneseCountingThousand"/>
      <w:lvlText w:val="第%1條"/>
      <w:lvlJc w:val="left"/>
      <w:pPr>
        <w:tabs>
          <w:tab w:val="num" w:pos="1260"/>
        </w:tabs>
        <w:ind w:left="1260" w:hanging="12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6CD31CC"/>
    <w:multiLevelType w:val="hybridMultilevel"/>
    <w:tmpl w:val="01CEB4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883429"/>
    <w:multiLevelType w:val="hybridMultilevel"/>
    <w:tmpl w:val="3202DA24"/>
    <w:lvl w:ilvl="0" w:tplc="503A1ED6">
      <w:start w:val="1"/>
      <w:numFmt w:val="taiwaneseCountingThousand"/>
      <w:lvlText w:val="%1、"/>
      <w:lvlJc w:val="left"/>
      <w:pPr>
        <w:ind w:left="480" w:hanging="48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7EF42876"/>
    <w:multiLevelType w:val="hybridMultilevel"/>
    <w:tmpl w:val="6F767B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524BD9"/>
    <w:multiLevelType w:val="hybridMultilevel"/>
    <w:tmpl w:val="2730C5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6"/>
  </w:num>
  <w:num w:numId="3">
    <w:abstractNumId w:val="7"/>
  </w:num>
  <w:num w:numId="4">
    <w:abstractNumId w:val="2"/>
  </w:num>
  <w:num w:numId="5">
    <w:abstractNumId w:val="12"/>
  </w:num>
  <w:num w:numId="6">
    <w:abstractNumId w:val="0"/>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num>
  <w:num w:numId="11">
    <w:abstractNumId w:val="4"/>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83"/>
    <w:rsid w:val="000034CA"/>
    <w:rsid w:val="00016962"/>
    <w:rsid w:val="00020144"/>
    <w:rsid w:val="00046D9C"/>
    <w:rsid w:val="000965B6"/>
    <w:rsid w:val="000B6E03"/>
    <w:rsid w:val="000C6A1C"/>
    <w:rsid w:val="000D114C"/>
    <w:rsid w:val="000D7786"/>
    <w:rsid w:val="00100CE1"/>
    <w:rsid w:val="0010124A"/>
    <w:rsid w:val="001120F2"/>
    <w:rsid w:val="00147AC0"/>
    <w:rsid w:val="0015045C"/>
    <w:rsid w:val="001653B5"/>
    <w:rsid w:val="00177AAF"/>
    <w:rsid w:val="00181457"/>
    <w:rsid w:val="00183145"/>
    <w:rsid w:val="001A2361"/>
    <w:rsid w:val="001C6929"/>
    <w:rsid w:val="001E2489"/>
    <w:rsid w:val="001E603D"/>
    <w:rsid w:val="001F195D"/>
    <w:rsid w:val="00221788"/>
    <w:rsid w:val="002460EE"/>
    <w:rsid w:val="00247C43"/>
    <w:rsid w:val="0026249D"/>
    <w:rsid w:val="002B3A7F"/>
    <w:rsid w:val="002C2609"/>
    <w:rsid w:val="002D2B78"/>
    <w:rsid w:val="00306653"/>
    <w:rsid w:val="0031023E"/>
    <w:rsid w:val="00314EE5"/>
    <w:rsid w:val="0032051A"/>
    <w:rsid w:val="003262F7"/>
    <w:rsid w:val="00337C51"/>
    <w:rsid w:val="00364BC5"/>
    <w:rsid w:val="00391A01"/>
    <w:rsid w:val="003A2244"/>
    <w:rsid w:val="003C5624"/>
    <w:rsid w:val="003C72C6"/>
    <w:rsid w:val="003F72D7"/>
    <w:rsid w:val="00404F7E"/>
    <w:rsid w:val="00430B63"/>
    <w:rsid w:val="00432A05"/>
    <w:rsid w:val="00434EDB"/>
    <w:rsid w:val="00454993"/>
    <w:rsid w:val="0047075D"/>
    <w:rsid w:val="00477189"/>
    <w:rsid w:val="00496B4C"/>
    <w:rsid w:val="004C6D29"/>
    <w:rsid w:val="004E3EBE"/>
    <w:rsid w:val="004E6E29"/>
    <w:rsid w:val="00516A00"/>
    <w:rsid w:val="00520070"/>
    <w:rsid w:val="00523675"/>
    <w:rsid w:val="00543510"/>
    <w:rsid w:val="005464E7"/>
    <w:rsid w:val="005B70C4"/>
    <w:rsid w:val="006206D3"/>
    <w:rsid w:val="00623205"/>
    <w:rsid w:val="00636BDB"/>
    <w:rsid w:val="006440B2"/>
    <w:rsid w:val="006F77DC"/>
    <w:rsid w:val="00710E76"/>
    <w:rsid w:val="00730ED7"/>
    <w:rsid w:val="0074129F"/>
    <w:rsid w:val="00756D63"/>
    <w:rsid w:val="007618EB"/>
    <w:rsid w:val="00770617"/>
    <w:rsid w:val="00780C81"/>
    <w:rsid w:val="007E39E0"/>
    <w:rsid w:val="007E3BFB"/>
    <w:rsid w:val="00862820"/>
    <w:rsid w:val="00862FBF"/>
    <w:rsid w:val="00866641"/>
    <w:rsid w:val="0087153E"/>
    <w:rsid w:val="00872E6B"/>
    <w:rsid w:val="00884326"/>
    <w:rsid w:val="008C294F"/>
    <w:rsid w:val="008C484D"/>
    <w:rsid w:val="008D6D02"/>
    <w:rsid w:val="008E783D"/>
    <w:rsid w:val="008F09DD"/>
    <w:rsid w:val="009155F1"/>
    <w:rsid w:val="00926122"/>
    <w:rsid w:val="00935F63"/>
    <w:rsid w:val="00970A50"/>
    <w:rsid w:val="00977704"/>
    <w:rsid w:val="009860F0"/>
    <w:rsid w:val="009A1AFE"/>
    <w:rsid w:val="009B7DC5"/>
    <w:rsid w:val="009C4296"/>
    <w:rsid w:val="009E442F"/>
    <w:rsid w:val="00A3544D"/>
    <w:rsid w:val="00A61621"/>
    <w:rsid w:val="00A91ED2"/>
    <w:rsid w:val="00A95348"/>
    <w:rsid w:val="00AA0BC5"/>
    <w:rsid w:val="00AA77C9"/>
    <w:rsid w:val="00AC70A7"/>
    <w:rsid w:val="00AE7DB5"/>
    <w:rsid w:val="00B020D1"/>
    <w:rsid w:val="00B13040"/>
    <w:rsid w:val="00B13535"/>
    <w:rsid w:val="00B23180"/>
    <w:rsid w:val="00B621F6"/>
    <w:rsid w:val="00B636A2"/>
    <w:rsid w:val="00BD3261"/>
    <w:rsid w:val="00BF46FC"/>
    <w:rsid w:val="00C05B34"/>
    <w:rsid w:val="00C30F4D"/>
    <w:rsid w:val="00C646F9"/>
    <w:rsid w:val="00C93CE8"/>
    <w:rsid w:val="00CA5DDC"/>
    <w:rsid w:val="00CB6D40"/>
    <w:rsid w:val="00CC46AC"/>
    <w:rsid w:val="00CC6889"/>
    <w:rsid w:val="00CC735A"/>
    <w:rsid w:val="00CD4F12"/>
    <w:rsid w:val="00CF0635"/>
    <w:rsid w:val="00D13883"/>
    <w:rsid w:val="00D209C2"/>
    <w:rsid w:val="00D32739"/>
    <w:rsid w:val="00D60EE5"/>
    <w:rsid w:val="00D80CA5"/>
    <w:rsid w:val="00D85D05"/>
    <w:rsid w:val="00D949E2"/>
    <w:rsid w:val="00D96A68"/>
    <w:rsid w:val="00D97615"/>
    <w:rsid w:val="00DE7EEE"/>
    <w:rsid w:val="00E04581"/>
    <w:rsid w:val="00E85A1C"/>
    <w:rsid w:val="00EB1672"/>
    <w:rsid w:val="00EB6930"/>
    <w:rsid w:val="00EC755A"/>
    <w:rsid w:val="00F17103"/>
    <w:rsid w:val="00F17DE4"/>
    <w:rsid w:val="00F65103"/>
    <w:rsid w:val="00F673AD"/>
    <w:rsid w:val="00F96DBA"/>
    <w:rsid w:val="00FA521E"/>
    <w:rsid w:val="00FA7ABA"/>
    <w:rsid w:val="00FE4D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8BAB4D-6148-413F-8F07-B1E71B78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14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F12"/>
    <w:pPr>
      <w:ind w:leftChars="200" w:left="480"/>
    </w:pPr>
  </w:style>
  <w:style w:type="paragraph" w:styleId="a4">
    <w:name w:val="header"/>
    <w:basedOn w:val="a"/>
    <w:link w:val="a5"/>
    <w:uiPriority w:val="99"/>
    <w:unhideWhenUsed/>
    <w:rsid w:val="00432A05"/>
    <w:pPr>
      <w:tabs>
        <w:tab w:val="center" w:pos="4153"/>
        <w:tab w:val="right" w:pos="8306"/>
      </w:tabs>
      <w:snapToGrid w:val="0"/>
    </w:pPr>
    <w:rPr>
      <w:sz w:val="20"/>
      <w:szCs w:val="20"/>
    </w:rPr>
  </w:style>
  <w:style w:type="character" w:customStyle="1" w:styleId="a5">
    <w:name w:val="頁首 字元"/>
    <w:basedOn w:val="a0"/>
    <w:link w:val="a4"/>
    <w:uiPriority w:val="99"/>
    <w:rsid w:val="00432A05"/>
    <w:rPr>
      <w:sz w:val="20"/>
      <w:szCs w:val="20"/>
    </w:rPr>
  </w:style>
  <w:style w:type="paragraph" w:styleId="a6">
    <w:name w:val="footer"/>
    <w:basedOn w:val="a"/>
    <w:link w:val="a7"/>
    <w:uiPriority w:val="99"/>
    <w:unhideWhenUsed/>
    <w:rsid w:val="00432A05"/>
    <w:pPr>
      <w:tabs>
        <w:tab w:val="center" w:pos="4153"/>
        <w:tab w:val="right" w:pos="8306"/>
      </w:tabs>
      <w:snapToGrid w:val="0"/>
    </w:pPr>
    <w:rPr>
      <w:sz w:val="20"/>
      <w:szCs w:val="20"/>
    </w:rPr>
  </w:style>
  <w:style w:type="character" w:customStyle="1" w:styleId="a7">
    <w:name w:val="頁尾 字元"/>
    <w:basedOn w:val="a0"/>
    <w:link w:val="a6"/>
    <w:uiPriority w:val="99"/>
    <w:rsid w:val="00432A05"/>
    <w:rPr>
      <w:sz w:val="20"/>
      <w:szCs w:val="20"/>
    </w:rPr>
  </w:style>
  <w:style w:type="paragraph" w:styleId="a8">
    <w:name w:val="Body Text Indent"/>
    <w:basedOn w:val="a"/>
    <w:link w:val="a9"/>
    <w:semiHidden/>
    <w:rsid w:val="000B6E03"/>
    <w:pPr>
      <w:ind w:left="120"/>
    </w:pPr>
    <w:rPr>
      <w:rFonts w:ascii="Times New Roman" w:eastAsia="新細明體" w:hAnsi="Times New Roman" w:cs="Times New Roman"/>
      <w:sz w:val="28"/>
      <w:szCs w:val="20"/>
    </w:rPr>
  </w:style>
  <w:style w:type="character" w:customStyle="1" w:styleId="a9">
    <w:name w:val="本文縮排 字元"/>
    <w:basedOn w:val="a0"/>
    <w:link w:val="a8"/>
    <w:semiHidden/>
    <w:rsid w:val="000B6E03"/>
    <w:rPr>
      <w:rFonts w:ascii="Times New Roman" w:eastAsia="新細明體" w:hAnsi="Times New Roman" w:cs="Times New Roman"/>
      <w:sz w:val="28"/>
      <w:szCs w:val="20"/>
    </w:rPr>
  </w:style>
  <w:style w:type="table" w:styleId="aa">
    <w:name w:val="Table Grid"/>
    <w:basedOn w:val="a1"/>
    <w:uiPriority w:val="59"/>
    <w:rsid w:val="009C4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23205"/>
    <w:rPr>
      <w:color w:val="0563C1" w:themeColor="hyperlink"/>
      <w:u w:val="single"/>
    </w:rPr>
  </w:style>
  <w:style w:type="paragraph" w:styleId="ac">
    <w:name w:val="Balloon Text"/>
    <w:basedOn w:val="a"/>
    <w:link w:val="ad"/>
    <w:uiPriority w:val="99"/>
    <w:semiHidden/>
    <w:unhideWhenUsed/>
    <w:rsid w:val="00D949E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949E2"/>
    <w:rPr>
      <w:rFonts w:asciiTheme="majorHAnsi" w:eastAsiaTheme="majorEastAsia" w:hAnsiTheme="majorHAnsi" w:cstheme="majorBidi"/>
      <w:sz w:val="18"/>
      <w:szCs w:val="18"/>
    </w:rPr>
  </w:style>
  <w:style w:type="character" w:styleId="ae">
    <w:name w:val="Placeholder Text"/>
    <w:basedOn w:val="a0"/>
    <w:uiPriority w:val="99"/>
    <w:semiHidden/>
    <w:rsid w:val="00516A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7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AEC48-89BC-410C-90B2-5370C744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1568</Characters>
  <Application>Microsoft Office Word</Application>
  <DocSecurity>0</DocSecurity>
  <Lines>13</Lines>
  <Paragraphs>3</Paragraphs>
  <ScaleCrop>false</ScaleCrop>
  <Company>Hewlett-Packard Company</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acer01</dc:creator>
  <cp:lastModifiedBy>施嘉旻</cp:lastModifiedBy>
  <cp:revision>2</cp:revision>
  <cp:lastPrinted>2018-03-28T03:44:00Z</cp:lastPrinted>
  <dcterms:created xsi:type="dcterms:W3CDTF">2018-05-24T07:44:00Z</dcterms:created>
  <dcterms:modified xsi:type="dcterms:W3CDTF">2018-05-24T07:44:00Z</dcterms:modified>
</cp:coreProperties>
</file>